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8BFE" w14:textId="77777777" w:rsidR="00164CB4" w:rsidRDefault="00164CB4" w:rsidP="00FB64BD">
      <w:pPr>
        <w:spacing w:after="0"/>
        <w:ind w:firstLine="0"/>
        <w:jc w:val="center"/>
        <w:rPr>
          <w:rFonts w:ascii="Trebuchet MS" w:hAnsi="Trebuchet MS"/>
          <w:b/>
          <w:sz w:val="18"/>
          <w:szCs w:val="18"/>
        </w:rPr>
      </w:pPr>
    </w:p>
    <w:p w14:paraId="370A8839" w14:textId="77777777" w:rsidR="00164CB4" w:rsidRDefault="00164CB4" w:rsidP="00FB64BD">
      <w:pPr>
        <w:spacing w:after="0"/>
        <w:ind w:firstLine="0"/>
        <w:jc w:val="center"/>
        <w:rPr>
          <w:rFonts w:ascii="Trebuchet MS" w:hAnsi="Trebuchet MS"/>
          <w:b/>
          <w:sz w:val="18"/>
          <w:szCs w:val="18"/>
        </w:rPr>
      </w:pPr>
    </w:p>
    <w:p w14:paraId="3CBEDC52" w14:textId="7C0A6D28" w:rsidR="00FB64BD" w:rsidRPr="00A42154" w:rsidRDefault="00FB64BD" w:rsidP="00FB64BD">
      <w:pPr>
        <w:spacing w:after="0"/>
        <w:ind w:firstLine="0"/>
        <w:jc w:val="center"/>
        <w:rPr>
          <w:rFonts w:ascii="Trebuchet MS" w:hAnsi="Trebuchet MS"/>
          <w:b/>
          <w:sz w:val="18"/>
          <w:szCs w:val="18"/>
        </w:rPr>
      </w:pPr>
      <w:r w:rsidRPr="00A42154">
        <w:rPr>
          <w:rFonts w:ascii="Trebuchet MS" w:hAnsi="Trebuchet MS"/>
          <w:b/>
          <w:sz w:val="18"/>
          <w:szCs w:val="18"/>
        </w:rPr>
        <w:t>VERBALE N</w:t>
      </w:r>
      <w:r w:rsidR="0044596B">
        <w:rPr>
          <w:rFonts w:ascii="Trebuchet MS" w:hAnsi="Trebuchet MS"/>
          <w:b/>
          <w:sz w:val="18"/>
          <w:szCs w:val="18"/>
        </w:rPr>
        <w:t xml:space="preserve"> 9</w:t>
      </w:r>
      <w:r w:rsidRPr="00A42154">
        <w:rPr>
          <w:rFonts w:ascii="Trebuchet MS" w:hAnsi="Trebuchet MS"/>
          <w:b/>
          <w:sz w:val="18"/>
          <w:szCs w:val="18"/>
        </w:rPr>
        <w:t>/2</w:t>
      </w:r>
      <w:r w:rsidR="00320669">
        <w:rPr>
          <w:rFonts w:ascii="Trebuchet MS" w:hAnsi="Trebuchet MS"/>
          <w:b/>
          <w:sz w:val="18"/>
          <w:szCs w:val="18"/>
        </w:rPr>
        <w:t>022</w:t>
      </w:r>
    </w:p>
    <w:p w14:paraId="011714BA" w14:textId="77777777" w:rsidR="00FB64BD" w:rsidRDefault="00FB64BD" w:rsidP="00FB64BD">
      <w:pPr>
        <w:spacing w:after="0"/>
        <w:ind w:firstLine="0"/>
        <w:rPr>
          <w:rFonts w:ascii="Trebuchet MS" w:hAnsi="Trebuchet MS" w:cs="Arial"/>
          <w:sz w:val="18"/>
          <w:szCs w:val="18"/>
        </w:rPr>
      </w:pPr>
    </w:p>
    <w:p w14:paraId="2B7FAAFA" w14:textId="4AE88087" w:rsidR="00433B31" w:rsidRDefault="00433B31" w:rsidP="00433B31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 xml:space="preserve">In data </w:t>
      </w:r>
      <w:r>
        <w:rPr>
          <w:rFonts w:ascii="Trebuchet MS" w:hAnsi="Trebuchet MS"/>
          <w:sz w:val="18"/>
          <w:szCs w:val="18"/>
        </w:rPr>
        <w:t>26/04/2022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alle ore 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>09:00,</w:t>
      </w:r>
      <w:r w:rsidRPr="00A42154">
        <w:rPr>
          <w:rFonts w:ascii="Trebuchet MS" w:hAnsi="Trebuchet MS"/>
          <w:sz w:val="18"/>
          <w:szCs w:val="18"/>
        </w:rPr>
        <w:t xml:space="preserve"> presso</w:t>
      </w:r>
      <w:r>
        <w:rPr>
          <w:rFonts w:ascii="Trebuchet MS" w:hAnsi="Trebuchet MS"/>
          <w:sz w:val="18"/>
          <w:szCs w:val="18"/>
        </w:rPr>
        <w:t xml:space="preserve"> la sede dell’E.R.S.U. di Enna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,</w:t>
      </w:r>
      <w:r w:rsidRPr="00A42154">
        <w:rPr>
          <w:rFonts w:ascii="Trebuchet MS" w:hAnsi="Trebuchet MS"/>
          <w:sz w:val="18"/>
          <w:szCs w:val="18"/>
        </w:rPr>
        <w:t xml:space="preserve"> in </w:t>
      </w:r>
      <w:r>
        <w:rPr>
          <w:rFonts w:ascii="Trebuchet MS" w:hAnsi="Trebuchet MS"/>
          <w:sz w:val="18"/>
          <w:szCs w:val="18"/>
        </w:rPr>
        <w:t>Enna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, 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>Vi</w:t>
      </w:r>
      <w:r w:rsidRPr="00A42154">
        <w:rPr>
          <w:rFonts w:ascii="Trebuchet MS" w:hAnsi="Trebuchet MS"/>
          <w:i/>
          <w:sz w:val="18"/>
          <w:szCs w:val="18"/>
        </w:rPr>
        <w:t>a</w:t>
      </w:r>
      <w:r>
        <w:rPr>
          <w:rFonts w:ascii="Trebuchet MS" w:hAnsi="Trebuchet MS"/>
          <w:i/>
          <w:sz w:val="18"/>
          <w:szCs w:val="18"/>
        </w:rPr>
        <w:t xml:space="preserve"> </w:t>
      </w:r>
      <w:r>
        <w:rPr>
          <w:rFonts w:ascii="Trebuchet MS" w:hAnsi="Trebuchet MS"/>
          <w:iCs/>
          <w:sz w:val="18"/>
          <w:szCs w:val="18"/>
        </w:rPr>
        <w:t>Mulino a Vento n. 9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, si è riunito, previa regolare convocazione, il </w:t>
      </w:r>
      <w:r w:rsidRPr="00A42154">
        <w:rPr>
          <w:rFonts w:ascii="Trebuchet MS" w:eastAsia="Arial" w:hAnsi="Trebuchet MS"/>
          <w:i/>
          <w:color w:val="000000"/>
          <w:sz w:val="18"/>
          <w:szCs w:val="18"/>
          <w:lang w:eastAsia="zh-CN"/>
        </w:rPr>
        <w:t>Collegio dei revisori dei conti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, nelle</w:t>
      </w:r>
      <w:r w:rsidRPr="00A42154">
        <w:rPr>
          <w:rFonts w:ascii="Trebuchet MS" w:hAnsi="Trebuchet MS"/>
          <w:sz w:val="18"/>
          <w:szCs w:val="18"/>
        </w:rPr>
        <w:t xml:space="preserve"> persone di</w:t>
      </w:r>
    </w:p>
    <w:p w14:paraId="549795EE" w14:textId="565FB1F6" w:rsidR="00433B31" w:rsidRDefault="00433B31" w:rsidP="00433B31">
      <w:pPr>
        <w:ind w:firstLine="0"/>
        <w:rPr>
          <w:rFonts w:ascii="Trebuchet MS" w:hAnsi="Trebuchet MS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4068"/>
        <w:gridCol w:w="2425"/>
      </w:tblGrid>
      <w:tr w:rsidR="00433B31" w:rsidRPr="00A42154" w14:paraId="4424B47A" w14:textId="77777777" w:rsidTr="00D34638">
        <w:trPr>
          <w:trHeight w:val="893"/>
          <w:jc w:val="center"/>
        </w:trPr>
        <w:tc>
          <w:tcPr>
            <w:tcW w:w="2518" w:type="dxa"/>
          </w:tcPr>
          <w:p w14:paraId="65E616DA" w14:textId="77777777" w:rsidR="00433B31" w:rsidRPr="00A42154" w:rsidRDefault="00433B31" w:rsidP="00D34638">
            <w:pPr>
              <w:spacing w:line="360" w:lineRule="auto"/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Dott.</w:t>
            </w:r>
            <w:r>
              <w:rPr>
                <w:rFonts w:ascii="Trebuchet MS" w:hAnsi="Trebuchet MS"/>
                <w:sz w:val="18"/>
                <w:szCs w:val="18"/>
              </w:rPr>
              <w:t xml:space="preserve"> Silvestro Saladdino</w:t>
            </w:r>
          </w:p>
        </w:tc>
        <w:tc>
          <w:tcPr>
            <w:tcW w:w="3048" w:type="dxa"/>
          </w:tcPr>
          <w:p w14:paraId="4707905F" w14:textId="77777777" w:rsidR="00433B31" w:rsidRPr="00A42154" w:rsidRDefault="00433B31" w:rsidP="00D34638">
            <w:pPr>
              <w:spacing w:line="360" w:lineRule="auto"/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Presidente in rappresentanza del</w:t>
            </w:r>
            <w:r>
              <w:rPr>
                <w:rFonts w:ascii="Trebuchet MS" w:hAnsi="Trebuchet MS"/>
                <w:sz w:val="18"/>
                <w:szCs w:val="18"/>
              </w:rPr>
              <w:t>l’Assessorato per l’Istruzione e alla Formazione</w:t>
            </w:r>
            <w:r w:rsidRPr="00A42154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professionale</w:t>
            </w:r>
          </w:p>
        </w:tc>
        <w:tc>
          <w:tcPr>
            <w:tcW w:w="1817" w:type="dxa"/>
          </w:tcPr>
          <w:p w14:paraId="083A6AED" w14:textId="77777777" w:rsidR="00433B31" w:rsidRPr="00A42154" w:rsidRDefault="00433B31" w:rsidP="00D34638">
            <w:pPr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Presente</w:t>
            </w:r>
          </w:p>
        </w:tc>
      </w:tr>
      <w:tr w:rsidR="00433B31" w:rsidRPr="00A42154" w14:paraId="0A20BF9F" w14:textId="77777777" w:rsidTr="00D34638">
        <w:trPr>
          <w:trHeight w:val="876"/>
          <w:jc w:val="center"/>
        </w:trPr>
        <w:tc>
          <w:tcPr>
            <w:tcW w:w="2518" w:type="dxa"/>
          </w:tcPr>
          <w:p w14:paraId="4F2C96DE" w14:textId="77777777" w:rsidR="00433B31" w:rsidRPr="00A42154" w:rsidRDefault="00433B31" w:rsidP="00D34638">
            <w:pPr>
              <w:spacing w:line="360" w:lineRule="auto"/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Dott.</w:t>
            </w:r>
            <w:r>
              <w:rPr>
                <w:rFonts w:ascii="Trebuchet MS" w:hAnsi="Trebuchet MS"/>
                <w:sz w:val="18"/>
                <w:szCs w:val="18"/>
              </w:rPr>
              <w:t>ssa Maria Maddalena La Placa</w:t>
            </w:r>
          </w:p>
        </w:tc>
        <w:tc>
          <w:tcPr>
            <w:tcW w:w="3048" w:type="dxa"/>
          </w:tcPr>
          <w:p w14:paraId="7CA4A7B9" w14:textId="229C8FD9" w:rsidR="00433B31" w:rsidRPr="00A42154" w:rsidRDefault="00433B31" w:rsidP="00D34638">
            <w:pPr>
              <w:spacing w:line="360" w:lineRule="auto"/>
              <w:ind w:right="-108"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Componente effettivo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A42154">
              <w:rPr>
                <w:rFonts w:ascii="Trebuchet MS" w:hAnsi="Trebuchet MS"/>
                <w:sz w:val="18"/>
                <w:szCs w:val="18"/>
              </w:rPr>
              <w:t>in rappresentanza del</w:t>
            </w:r>
            <w:r>
              <w:rPr>
                <w:rFonts w:ascii="Trebuchet MS" w:hAnsi="Trebuchet MS"/>
                <w:sz w:val="18"/>
                <w:szCs w:val="18"/>
              </w:rPr>
              <w:t>l’Assessorato all’Economia</w:t>
            </w:r>
          </w:p>
        </w:tc>
        <w:tc>
          <w:tcPr>
            <w:tcW w:w="1817" w:type="dxa"/>
          </w:tcPr>
          <w:p w14:paraId="53C365AF" w14:textId="77777777" w:rsidR="00433B31" w:rsidRPr="00A42154" w:rsidRDefault="00433B31" w:rsidP="00D34638">
            <w:pPr>
              <w:spacing w:line="360" w:lineRule="auto"/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Presente</w:t>
            </w:r>
          </w:p>
        </w:tc>
      </w:tr>
      <w:tr w:rsidR="00433B31" w:rsidRPr="00A42154" w14:paraId="1E2577A0" w14:textId="77777777" w:rsidTr="00D34638">
        <w:trPr>
          <w:trHeight w:val="893"/>
          <w:jc w:val="center"/>
        </w:trPr>
        <w:tc>
          <w:tcPr>
            <w:tcW w:w="2518" w:type="dxa"/>
          </w:tcPr>
          <w:p w14:paraId="2563F075" w14:textId="77777777" w:rsidR="00433B31" w:rsidRPr="00A42154" w:rsidRDefault="00433B31" w:rsidP="00D34638">
            <w:pPr>
              <w:spacing w:line="360" w:lineRule="auto"/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 xml:space="preserve">Dott. </w:t>
            </w:r>
            <w:r>
              <w:rPr>
                <w:rFonts w:ascii="Trebuchet MS" w:hAnsi="Trebuchet MS"/>
                <w:sz w:val="18"/>
                <w:szCs w:val="18"/>
              </w:rPr>
              <w:t>Giuseppe Antonino Provenzano</w:t>
            </w:r>
          </w:p>
        </w:tc>
        <w:tc>
          <w:tcPr>
            <w:tcW w:w="3048" w:type="dxa"/>
          </w:tcPr>
          <w:p w14:paraId="060C8D1A" w14:textId="77777777" w:rsidR="00433B31" w:rsidRPr="00A42154" w:rsidRDefault="00433B31" w:rsidP="00D34638">
            <w:pPr>
              <w:spacing w:line="360" w:lineRule="auto"/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Componente effettivo in rappresentanza del</w:t>
            </w:r>
            <w:r>
              <w:rPr>
                <w:rFonts w:ascii="Trebuchet MS" w:hAnsi="Trebuchet MS"/>
                <w:sz w:val="18"/>
                <w:szCs w:val="18"/>
              </w:rPr>
              <w:t>l’Assessorato per l’Istruzione e alla Formazione</w:t>
            </w:r>
            <w:r w:rsidRPr="00A42154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professionale</w:t>
            </w:r>
          </w:p>
        </w:tc>
        <w:tc>
          <w:tcPr>
            <w:tcW w:w="1817" w:type="dxa"/>
          </w:tcPr>
          <w:p w14:paraId="2A8DD4B2" w14:textId="77777777" w:rsidR="00433B31" w:rsidRPr="00A42154" w:rsidRDefault="00433B31" w:rsidP="00D34638">
            <w:pPr>
              <w:spacing w:line="360" w:lineRule="auto"/>
              <w:ind w:firstLine="0"/>
              <w:rPr>
                <w:rFonts w:ascii="Trebuchet MS" w:hAnsi="Trebuchet MS"/>
                <w:sz w:val="18"/>
                <w:szCs w:val="18"/>
              </w:rPr>
            </w:pPr>
            <w:r w:rsidRPr="00A42154">
              <w:rPr>
                <w:rFonts w:ascii="Trebuchet MS" w:hAnsi="Trebuchet MS"/>
                <w:sz w:val="18"/>
                <w:szCs w:val="18"/>
              </w:rPr>
              <w:t>Presente</w:t>
            </w:r>
          </w:p>
        </w:tc>
      </w:tr>
    </w:tbl>
    <w:p w14:paraId="303B16CA" w14:textId="77777777" w:rsidR="00433B31" w:rsidRDefault="00433B31" w:rsidP="00433B31">
      <w:pPr>
        <w:ind w:firstLine="0"/>
        <w:rPr>
          <w:rFonts w:ascii="Trebuchet MS" w:hAnsi="Trebuchet MS"/>
          <w:sz w:val="18"/>
          <w:szCs w:val="18"/>
        </w:rPr>
      </w:pPr>
    </w:p>
    <w:p w14:paraId="3CAB1C3A" w14:textId="636E1C08" w:rsidR="00CB4B91" w:rsidRPr="00A42154" w:rsidRDefault="00CB4B91" w:rsidP="00CB4B91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 xml:space="preserve">per procedere all’esame del Bilancio di Previsione </w:t>
      </w:r>
      <w:r w:rsidR="00433B31">
        <w:rPr>
          <w:rFonts w:ascii="Trebuchet MS" w:hAnsi="Trebuchet MS"/>
          <w:sz w:val="18"/>
          <w:szCs w:val="18"/>
        </w:rPr>
        <w:t>2022-2024.</w:t>
      </w:r>
      <w:r w:rsidRPr="00A42154">
        <w:rPr>
          <w:rFonts w:ascii="Trebuchet MS" w:hAnsi="Trebuchet MS"/>
          <w:sz w:val="18"/>
          <w:szCs w:val="18"/>
        </w:rPr>
        <w:t xml:space="preserve"> </w:t>
      </w:r>
    </w:p>
    <w:p w14:paraId="62308263" w14:textId="23D8E801" w:rsidR="00134766" w:rsidRPr="00A42154" w:rsidRDefault="00433B31" w:rsidP="00134766">
      <w:pPr>
        <w:suppressAutoHyphens/>
        <w:ind w:firstLine="0"/>
        <w:rPr>
          <w:rFonts w:ascii="Trebuchet MS" w:eastAsia="Arial" w:hAnsi="Trebuchet MS"/>
          <w:color w:val="000000"/>
          <w:sz w:val="18"/>
          <w:szCs w:val="18"/>
          <w:lang w:eastAsia="zh-CN"/>
        </w:rPr>
      </w:pP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Il predetto documento contabile, corredato della relativa documentazione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e della proposta di deliberazione del Consiglio di Amministrazione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, è stato trasmesso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a mezzo PEC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al Collegio dei revisori</w:t>
      </w:r>
      <w:r w:rsidR="005F2058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dei conti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con </w:t>
      </w:r>
      <w:r w:rsidRPr="00CD3A72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nota prot. </w:t>
      </w:r>
      <w:r w:rsidR="00471067" w:rsidRPr="00471067">
        <w:rPr>
          <w:rFonts w:ascii="Trebuchet MS" w:eastAsia="Arial" w:hAnsi="Trebuchet MS"/>
          <w:color w:val="000000"/>
          <w:sz w:val="18"/>
          <w:szCs w:val="18"/>
          <w:lang w:eastAsia="zh-CN"/>
        </w:rPr>
        <w:t>N.1279/2022 del 11-04-2022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. Si dà atto nella presente adunanza che l’esame del </w:t>
      </w:r>
      <w:r w:rsidR="00F479DF" w:rsidRPr="00A42154">
        <w:rPr>
          <w:rFonts w:ascii="Trebuchet MS" w:hAnsi="Trebuchet MS"/>
          <w:sz w:val="18"/>
          <w:szCs w:val="18"/>
        </w:rPr>
        <w:t xml:space="preserve">Bilancio di Previsione </w:t>
      </w:r>
      <w:r w:rsidR="00F479DF">
        <w:rPr>
          <w:rFonts w:ascii="Trebuchet MS" w:hAnsi="Trebuchet MS"/>
          <w:sz w:val="18"/>
          <w:szCs w:val="18"/>
        </w:rPr>
        <w:t xml:space="preserve">2022-2024 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da parte dell’organo di controllo è iniziata con precedente riunione del </w:t>
      </w:r>
      <w:r w:rsidR="00F479DF">
        <w:rPr>
          <w:rFonts w:ascii="Trebuchet MS" w:eastAsia="Arial" w:hAnsi="Trebuchet MS"/>
          <w:color w:val="000000"/>
          <w:sz w:val="18"/>
          <w:szCs w:val="18"/>
          <w:lang w:eastAsia="zh-CN"/>
        </w:rPr>
        <w:t>14/04/2022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</w:t>
      </w:r>
      <w:r w:rsidR="00F479DF">
        <w:rPr>
          <w:rFonts w:ascii="Trebuchet MS" w:eastAsia="Arial" w:hAnsi="Trebuchet MS"/>
          <w:color w:val="000000"/>
          <w:sz w:val="18"/>
          <w:szCs w:val="18"/>
          <w:lang w:eastAsia="zh-CN"/>
        </w:rPr>
        <w:t>durante la quale è stata eseguita una verifica preliminare dei documenti trasmessi dall’Ente e sono stati espletati alcuni controlli propedeutici alla stesura del parere di competenza.</w:t>
      </w:r>
      <w:r w:rsidR="00134766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</w:t>
      </w:r>
      <w:r w:rsidR="00134766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Il Collegio</w:t>
      </w:r>
      <w:r w:rsidR="00134766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nelle varie fasi di esame </w:t>
      </w:r>
      <w:r w:rsidR="00134766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del predetto elaborato contabile</w:t>
      </w:r>
      <w:r w:rsidR="00134766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è stato </w:t>
      </w:r>
      <w:r w:rsidR="00134766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assistito</w:t>
      </w:r>
      <w:r w:rsidR="00134766">
        <w:rPr>
          <w:rFonts w:ascii="Trebuchet MS" w:eastAsia="Arial" w:hAnsi="Trebuchet MS"/>
          <w:color w:val="000000"/>
          <w:sz w:val="18"/>
          <w:szCs w:val="18"/>
          <w:lang w:eastAsia="zh-CN"/>
        </w:rPr>
        <w:t>, anche mediante contatto telefonico</w:t>
      </w:r>
      <w:r w:rsidR="00134766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</w:t>
      </w:r>
      <w:r w:rsidR="00134766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dal consulente fiscale e contabile Dott.ssa Giulia Monastero e dal </w:t>
      </w:r>
      <w:r w:rsidR="00134766" w:rsidRPr="006D5843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Funzionario Direttivo </w:t>
      </w:r>
      <w:r w:rsidR="00134766">
        <w:rPr>
          <w:rFonts w:ascii="Trebuchet MS" w:eastAsia="Arial" w:hAnsi="Trebuchet MS"/>
          <w:color w:val="000000"/>
          <w:sz w:val="18"/>
          <w:szCs w:val="18"/>
          <w:lang w:eastAsia="zh-CN"/>
        </w:rPr>
        <w:t>Ing.</w:t>
      </w:r>
      <w:r w:rsidR="00134766" w:rsidRPr="006D5843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Graziella Bonomo</w:t>
      </w:r>
      <w:r w:rsidR="00134766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, </w:t>
      </w:r>
      <w:r w:rsidR="00134766">
        <w:rPr>
          <w:rFonts w:ascii="Trebuchet MS" w:eastAsia="Arial" w:hAnsi="Trebuchet MS"/>
          <w:color w:val="000000"/>
          <w:sz w:val="18"/>
          <w:szCs w:val="18"/>
          <w:lang w:eastAsia="zh-CN"/>
        </w:rPr>
        <w:t>allo scopo di fornire</w:t>
      </w:r>
      <w:r w:rsidR="00134766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tutti gli elementi informativi necessari per la redazione del prescritto parere</w:t>
      </w:r>
      <w:r w:rsidR="007151E1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ed in data odierna dal Direttore Dott. Filippo Fiammetta.</w:t>
      </w:r>
    </w:p>
    <w:p w14:paraId="3944D407" w14:textId="77777777" w:rsidR="007151E1" w:rsidRDefault="007151E1" w:rsidP="00CB4B91">
      <w:pPr>
        <w:ind w:firstLine="0"/>
        <w:rPr>
          <w:rFonts w:ascii="Trebuchet MS" w:eastAsia="Arial" w:hAnsi="Trebuchet MS"/>
          <w:color w:val="000000"/>
          <w:sz w:val="18"/>
          <w:szCs w:val="18"/>
          <w:lang w:eastAsia="zh-CN"/>
        </w:rPr>
      </w:pPr>
    </w:p>
    <w:p w14:paraId="6C286B50" w14:textId="53492CB4" w:rsidR="00CB4B91" w:rsidRPr="00A42154" w:rsidRDefault="00CB4B91" w:rsidP="00CB4B91">
      <w:pPr>
        <w:ind w:firstLine="0"/>
        <w:rPr>
          <w:rFonts w:ascii="Trebuchet MS" w:eastAsia="Arial" w:hAnsi="Trebuchet MS"/>
          <w:color w:val="000000"/>
          <w:sz w:val="18"/>
          <w:szCs w:val="18"/>
          <w:lang w:eastAsia="zh-CN"/>
        </w:rPr>
      </w:pP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Il Collegio passa all'esame del precitato documento e, dopo aver acquisito ogni utile notizia al riguardo ed aver effettuato le opportune verifiche, redige la relazione </w:t>
      </w:r>
      <w:r w:rsidR="00DF0E1A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quale parere sulla proposta di bilancio di previsione 2022-2024 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che viene allegata al presente verbale e ne costituisce parte integrante</w:t>
      </w:r>
      <w:r w:rsidR="00DF0E1A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e sostanziale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(Allegato 1).</w:t>
      </w:r>
    </w:p>
    <w:p w14:paraId="65A9DCB6" w14:textId="5C8EBDE4" w:rsidR="00CB4B91" w:rsidRPr="00A42154" w:rsidRDefault="00CB4B91" w:rsidP="00CB4B91">
      <w:pPr>
        <w:ind w:firstLine="0"/>
        <w:rPr>
          <w:rFonts w:ascii="Trebuchet MS" w:eastAsia="Arial" w:hAnsi="Trebuchet MS" w:cs="Arial"/>
          <w:color w:val="000000"/>
          <w:sz w:val="18"/>
          <w:szCs w:val="18"/>
          <w:lang w:eastAsia="zh-CN"/>
        </w:rPr>
      </w:pP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Il Collegio rammenta, infine, che la delibera di approvazione del bilancio in questione, completo degli allegati</w:t>
      </w:r>
      <w:r w:rsidR="001E5180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e del prescritto parere dell’organo di controllo</w:t>
      </w:r>
      <w:r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, dovrà essere trasmesso </w:t>
      </w:r>
      <w:r w:rsidR="001E5180">
        <w:rPr>
          <w:rFonts w:ascii="Trebuchet MS" w:eastAsia="Arial" w:hAnsi="Trebuchet MS"/>
          <w:color w:val="000000"/>
          <w:sz w:val="18"/>
          <w:szCs w:val="18"/>
          <w:lang w:eastAsia="zh-CN"/>
        </w:rPr>
        <w:t>all’Assessorato competente</w:t>
      </w:r>
      <w:r w:rsidR="002F0691">
        <w:rPr>
          <w:rFonts w:ascii="Trebuchet MS" w:eastAsia="Arial" w:hAnsi="Trebuchet MS" w:cs="Arial"/>
          <w:color w:val="000000"/>
          <w:sz w:val="18"/>
          <w:szCs w:val="18"/>
          <w:lang w:eastAsia="zh-CN"/>
        </w:rPr>
        <w:t xml:space="preserve"> e pubblicato sulla B.D.A.P.</w:t>
      </w:r>
    </w:p>
    <w:p w14:paraId="4F08153D" w14:textId="77777777" w:rsidR="00DF0E1A" w:rsidRDefault="00DF0E1A" w:rsidP="00CB4B91">
      <w:pPr>
        <w:ind w:firstLine="0"/>
        <w:rPr>
          <w:rFonts w:ascii="Trebuchet MS" w:eastAsia="Calibri" w:hAnsi="Trebuchet MS"/>
          <w:color w:val="000000"/>
          <w:sz w:val="18"/>
          <w:szCs w:val="18"/>
        </w:rPr>
      </w:pPr>
    </w:p>
    <w:p w14:paraId="40852DAD" w14:textId="66514B22" w:rsidR="00CB4B91" w:rsidRPr="00A42154" w:rsidRDefault="00CB4B91" w:rsidP="00CB4B91">
      <w:pPr>
        <w:ind w:firstLine="0"/>
        <w:rPr>
          <w:rFonts w:ascii="Trebuchet MS" w:eastAsia="Calibri" w:hAnsi="Trebuchet MS"/>
          <w:color w:val="000000"/>
          <w:sz w:val="18"/>
          <w:szCs w:val="18"/>
        </w:rPr>
      </w:pPr>
      <w:r w:rsidRPr="00A42154">
        <w:rPr>
          <w:rFonts w:ascii="Trebuchet MS" w:eastAsia="Calibri" w:hAnsi="Trebuchet MS"/>
          <w:color w:val="000000"/>
          <w:sz w:val="18"/>
          <w:szCs w:val="18"/>
        </w:rPr>
        <w:t xml:space="preserve">Non essendovi altre questioni da trattare, la riunione termina alle ore </w:t>
      </w:r>
      <w:r w:rsidR="001E5180">
        <w:rPr>
          <w:rFonts w:ascii="Trebuchet MS" w:eastAsia="Arial" w:hAnsi="Trebuchet MS"/>
          <w:color w:val="000000"/>
          <w:sz w:val="18"/>
          <w:szCs w:val="18"/>
          <w:lang w:eastAsia="zh-CN"/>
        </w:rPr>
        <w:t>12:30</w:t>
      </w:r>
      <w:r w:rsidRPr="00A42154">
        <w:rPr>
          <w:rFonts w:ascii="Trebuchet MS" w:eastAsia="Calibri" w:hAnsi="Trebuchet MS"/>
          <w:color w:val="000000"/>
          <w:sz w:val="18"/>
          <w:szCs w:val="18"/>
        </w:rPr>
        <w:t xml:space="preserve"> previa stesura del presente verbale, che viene successivamente inserito nell’apposito registro.</w:t>
      </w:r>
    </w:p>
    <w:p w14:paraId="6EE6DD93" w14:textId="77777777" w:rsidR="001E5180" w:rsidRPr="00A42154" w:rsidRDefault="001E5180" w:rsidP="00CB4B91">
      <w:pPr>
        <w:spacing w:after="0" w:line="360" w:lineRule="auto"/>
        <w:ind w:firstLine="0"/>
        <w:rPr>
          <w:rFonts w:ascii="Trebuchet MS" w:hAnsi="Trebuchet MS"/>
          <w:sz w:val="18"/>
          <w:szCs w:val="18"/>
        </w:rPr>
      </w:pPr>
    </w:p>
    <w:p w14:paraId="44AFF409" w14:textId="77777777" w:rsidR="00CB4B91" w:rsidRDefault="00CB4B91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Letto, confermato e sottoscritto.</w:t>
      </w:r>
    </w:p>
    <w:p w14:paraId="2D31DAA2" w14:textId="77777777" w:rsidR="00CB4B91" w:rsidRPr="00A42154" w:rsidRDefault="00CB4B91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368BB674" w14:textId="77777777" w:rsidR="001E5180" w:rsidRDefault="001E5180" w:rsidP="001E5180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rebuchet MS" w:hAnsi="Trebuchet MS"/>
          <w:b/>
          <w:sz w:val="18"/>
          <w:szCs w:val="18"/>
        </w:rPr>
      </w:pPr>
    </w:p>
    <w:p w14:paraId="09B5CAA2" w14:textId="168CE722" w:rsidR="001E5180" w:rsidRPr="00A42154" w:rsidRDefault="001E5180" w:rsidP="001E5180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rebuchet MS" w:hAnsi="Trebuchet MS"/>
          <w:b/>
          <w:sz w:val="18"/>
          <w:szCs w:val="18"/>
        </w:rPr>
      </w:pPr>
      <w:r w:rsidRPr="00A42154">
        <w:rPr>
          <w:rFonts w:ascii="Trebuchet MS" w:hAnsi="Trebuchet MS"/>
          <w:b/>
          <w:sz w:val="18"/>
          <w:szCs w:val="18"/>
        </w:rPr>
        <w:t>Il Collegio dei Revisori dei conti</w:t>
      </w:r>
    </w:p>
    <w:p w14:paraId="5AEE6E29" w14:textId="6D389942" w:rsidR="001E5180" w:rsidRPr="00A42154" w:rsidRDefault="001E5180" w:rsidP="001E5180">
      <w:pPr>
        <w:tabs>
          <w:tab w:val="left" w:pos="5103"/>
        </w:tabs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Dott.</w:t>
      </w:r>
      <w:r>
        <w:rPr>
          <w:rFonts w:ascii="Trebuchet MS" w:hAnsi="Trebuchet MS"/>
          <w:sz w:val="18"/>
          <w:szCs w:val="18"/>
        </w:rPr>
        <w:t xml:space="preserve"> Silvestro Saladdino</w:t>
      </w:r>
      <w:r w:rsidRPr="00A42154">
        <w:rPr>
          <w:rFonts w:ascii="Trebuchet MS" w:hAnsi="Trebuchet MS"/>
          <w:sz w:val="18"/>
          <w:szCs w:val="18"/>
        </w:rPr>
        <w:t xml:space="preserve">    </w:t>
      </w:r>
      <w:r w:rsidRPr="00A42154">
        <w:rPr>
          <w:rFonts w:ascii="Trebuchet MS" w:hAnsi="Trebuchet MS"/>
          <w:sz w:val="18"/>
          <w:szCs w:val="18"/>
        </w:rPr>
        <w:tab/>
      </w:r>
      <w:r w:rsidRPr="00A42154">
        <w:rPr>
          <w:rFonts w:ascii="Trebuchet MS" w:hAnsi="Trebuchet MS"/>
          <w:sz w:val="18"/>
          <w:szCs w:val="18"/>
        </w:rPr>
        <w:tab/>
        <w:t xml:space="preserve">         </w:t>
      </w:r>
      <w:r w:rsidRPr="00A42154">
        <w:rPr>
          <w:rFonts w:ascii="Trebuchet MS" w:hAnsi="Trebuchet MS"/>
          <w:sz w:val="18"/>
          <w:szCs w:val="18"/>
        </w:rPr>
        <w:tab/>
        <w:t xml:space="preserve">(Presidente)    </w:t>
      </w:r>
    </w:p>
    <w:p w14:paraId="08050885" w14:textId="5D637BB5" w:rsidR="001E5180" w:rsidRPr="00A42154" w:rsidRDefault="001E5180" w:rsidP="001E5180">
      <w:pPr>
        <w:tabs>
          <w:tab w:val="left" w:pos="5103"/>
        </w:tabs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Dott</w:t>
      </w:r>
      <w:r>
        <w:rPr>
          <w:rFonts w:ascii="Trebuchet MS" w:hAnsi="Trebuchet MS"/>
          <w:sz w:val="18"/>
          <w:szCs w:val="18"/>
        </w:rPr>
        <w:t>.ssa Maria Maddalena La Placa</w:t>
      </w:r>
      <w:r w:rsidRPr="00A42154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ab/>
      </w:r>
      <w:r w:rsidRPr="00A42154">
        <w:rPr>
          <w:rFonts w:ascii="Trebuchet MS" w:hAnsi="Trebuchet MS"/>
          <w:sz w:val="18"/>
          <w:szCs w:val="18"/>
        </w:rPr>
        <w:tab/>
        <w:t xml:space="preserve">      </w:t>
      </w:r>
      <w:r w:rsidRPr="00A42154">
        <w:rPr>
          <w:rFonts w:ascii="Trebuchet MS" w:hAnsi="Trebuchet MS"/>
          <w:sz w:val="18"/>
          <w:szCs w:val="18"/>
        </w:rPr>
        <w:tab/>
        <w:t xml:space="preserve">(Componente)   </w:t>
      </w:r>
    </w:p>
    <w:p w14:paraId="60C39E35" w14:textId="34288031" w:rsidR="00F27F58" w:rsidRDefault="001E5180" w:rsidP="00F27F58">
      <w:pPr>
        <w:tabs>
          <w:tab w:val="left" w:pos="5103"/>
        </w:tabs>
        <w:ind w:firstLine="0"/>
        <w:rPr>
          <w:rFonts w:ascii="Trebuchet MS" w:hAnsi="Trebuchet MS"/>
          <w:b/>
          <w:bCs/>
          <w:kern w:val="28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Dott.</w:t>
      </w:r>
      <w:r>
        <w:rPr>
          <w:rFonts w:ascii="Trebuchet MS" w:hAnsi="Trebuchet MS"/>
          <w:sz w:val="18"/>
          <w:szCs w:val="18"/>
        </w:rPr>
        <w:t xml:space="preserve"> Giuseppe Antonino Provenzano</w:t>
      </w:r>
      <w:r w:rsidRPr="00A42154">
        <w:rPr>
          <w:rFonts w:ascii="Trebuchet MS" w:hAnsi="Trebuchet MS"/>
          <w:sz w:val="18"/>
          <w:szCs w:val="18"/>
        </w:rPr>
        <w:t xml:space="preserve">   </w:t>
      </w:r>
      <w:r w:rsidRPr="00A42154">
        <w:rPr>
          <w:rFonts w:ascii="Trebuchet MS" w:hAnsi="Trebuchet MS"/>
          <w:sz w:val="18"/>
          <w:szCs w:val="18"/>
        </w:rPr>
        <w:tab/>
      </w:r>
      <w:r w:rsidRPr="00A42154">
        <w:rPr>
          <w:rFonts w:ascii="Trebuchet MS" w:hAnsi="Trebuchet MS"/>
          <w:sz w:val="18"/>
          <w:szCs w:val="18"/>
        </w:rPr>
        <w:tab/>
        <w:t xml:space="preserve">         </w:t>
      </w:r>
      <w:r w:rsidRPr="00A42154">
        <w:rPr>
          <w:rFonts w:ascii="Trebuchet MS" w:hAnsi="Trebuchet MS"/>
          <w:sz w:val="18"/>
          <w:szCs w:val="18"/>
        </w:rPr>
        <w:tab/>
        <w:t xml:space="preserve">(Componente) </w:t>
      </w:r>
      <w:r w:rsidRPr="00A42154">
        <w:rPr>
          <w:rFonts w:ascii="Trebuchet MS" w:hAnsi="Trebuchet MS"/>
          <w:b/>
          <w:bCs/>
          <w:sz w:val="18"/>
          <w:szCs w:val="18"/>
        </w:rPr>
        <w:br w:type="page"/>
      </w:r>
      <w:r w:rsidR="00CB4B91" w:rsidRPr="00A42154">
        <w:rPr>
          <w:rFonts w:ascii="Trebuchet MS" w:hAnsi="Trebuchet MS"/>
          <w:b/>
          <w:bCs/>
          <w:kern w:val="28"/>
          <w:sz w:val="18"/>
          <w:szCs w:val="18"/>
        </w:rPr>
        <w:br w:type="page"/>
      </w:r>
    </w:p>
    <w:p w14:paraId="3ED3113D" w14:textId="0BB603FC" w:rsidR="00CB4B91" w:rsidRPr="00A42154" w:rsidRDefault="00CB4B91" w:rsidP="00F27F58">
      <w:pPr>
        <w:tabs>
          <w:tab w:val="left" w:pos="5103"/>
        </w:tabs>
        <w:ind w:firstLine="0"/>
        <w:jc w:val="right"/>
        <w:rPr>
          <w:rFonts w:ascii="Trebuchet MS" w:hAnsi="Trebuchet MS"/>
          <w:b/>
          <w:bCs/>
          <w:kern w:val="28"/>
          <w:sz w:val="18"/>
          <w:szCs w:val="18"/>
        </w:rPr>
      </w:pPr>
      <w:r w:rsidRPr="00A42154">
        <w:rPr>
          <w:rFonts w:ascii="Trebuchet MS" w:hAnsi="Trebuchet MS"/>
          <w:b/>
          <w:bCs/>
          <w:kern w:val="28"/>
          <w:sz w:val="18"/>
          <w:szCs w:val="18"/>
        </w:rPr>
        <w:t>Allegato 1</w:t>
      </w:r>
    </w:p>
    <w:p w14:paraId="42493617" w14:textId="305BC6C3" w:rsidR="00CB4B91" w:rsidRPr="00A42154" w:rsidRDefault="001E5180" w:rsidP="00CB4B91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18"/>
          <w:szCs w:val="18"/>
        </w:rPr>
      </w:pPr>
      <w:r>
        <w:rPr>
          <w:rFonts w:ascii="Trebuchet MS" w:hAnsi="Trebuchet MS"/>
          <w:b/>
          <w:bCs/>
          <w:kern w:val="28"/>
          <w:sz w:val="18"/>
          <w:szCs w:val="18"/>
        </w:rPr>
        <w:t>ERSU ENNA</w:t>
      </w:r>
      <w:r w:rsidR="00CB4B91" w:rsidRPr="00A42154">
        <w:rPr>
          <w:rFonts w:ascii="Trebuchet MS" w:hAnsi="Trebuchet MS"/>
          <w:b/>
          <w:bCs/>
          <w:kern w:val="28"/>
          <w:sz w:val="18"/>
          <w:szCs w:val="18"/>
        </w:rPr>
        <w:t xml:space="preserve">  </w:t>
      </w:r>
    </w:p>
    <w:p w14:paraId="3BBB87B1" w14:textId="77777777" w:rsidR="00CB4B91" w:rsidRPr="00A42154" w:rsidRDefault="00CB4B91" w:rsidP="00CB4B91">
      <w:pPr>
        <w:spacing w:after="0" w:line="360" w:lineRule="auto"/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  <w:r w:rsidRPr="00A42154">
        <w:rPr>
          <w:rFonts w:ascii="Trebuchet MS" w:hAnsi="Trebuchet MS"/>
          <w:b/>
          <w:bCs/>
          <w:sz w:val="18"/>
          <w:szCs w:val="18"/>
        </w:rPr>
        <w:t xml:space="preserve">RELAZIONE RELATIVA AL BILANCIO DI PREVISIONE  </w:t>
      </w:r>
    </w:p>
    <w:p w14:paraId="2451709D" w14:textId="4D03F557" w:rsidR="00CB4B91" w:rsidRPr="00A42154" w:rsidRDefault="001E5180" w:rsidP="00CB4B91">
      <w:pPr>
        <w:spacing w:after="0" w:line="360" w:lineRule="auto"/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>2022-2024</w:t>
      </w:r>
    </w:p>
    <w:p w14:paraId="6359EC4F" w14:textId="77777777" w:rsidR="00CB4B91" w:rsidRPr="00A42154" w:rsidRDefault="00CB4B91" w:rsidP="00CB4B91">
      <w:pPr>
        <w:spacing w:after="0" w:line="360" w:lineRule="auto"/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</w:p>
    <w:p w14:paraId="0BCB7229" w14:textId="04B51472" w:rsidR="00CB4B91" w:rsidRPr="00A42154" w:rsidRDefault="00CB4B91" w:rsidP="00154394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Il bilancio di previsione</w:t>
      </w:r>
      <w:r w:rsidR="00582AC5">
        <w:rPr>
          <w:rFonts w:ascii="Trebuchet MS" w:hAnsi="Trebuchet MS"/>
          <w:sz w:val="18"/>
          <w:szCs w:val="18"/>
        </w:rPr>
        <w:t xml:space="preserve"> 2022-2024</w:t>
      </w:r>
      <w:r w:rsidRPr="00A42154">
        <w:rPr>
          <w:rFonts w:ascii="Trebuchet MS" w:hAnsi="Trebuchet MS"/>
          <w:sz w:val="18"/>
          <w:szCs w:val="18"/>
        </w:rPr>
        <w:t xml:space="preserve"> è stato trasmesso</w:t>
      </w:r>
      <w:r w:rsidR="005F2058">
        <w:rPr>
          <w:rFonts w:ascii="Trebuchet MS" w:hAnsi="Trebuchet MS"/>
          <w:sz w:val="18"/>
          <w:szCs w:val="18"/>
        </w:rPr>
        <w:t xml:space="preserve"> </w:t>
      </w:r>
      <w:r w:rsidR="005F2058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al Collegio dei revisori</w:t>
      </w:r>
      <w:r w:rsidR="005F2058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dei conti, </w:t>
      </w:r>
      <w:r w:rsidR="005F2058" w:rsidRPr="00A42154">
        <w:rPr>
          <w:rFonts w:ascii="Trebuchet MS" w:hAnsi="Trebuchet MS"/>
          <w:sz w:val="18"/>
          <w:szCs w:val="18"/>
        </w:rPr>
        <w:t>per il relativo parere di competenza</w:t>
      </w:r>
      <w:r w:rsidR="005F2058">
        <w:rPr>
          <w:rFonts w:ascii="Trebuchet MS" w:hAnsi="Trebuchet MS"/>
          <w:sz w:val="18"/>
          <w:szCs w:val="18"/>
        </w:rPr>
        <w:t>,</w:t>
      </w:r>
      <w:r w:rsidR="005F2058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con </w:t>
      </w:r>
      <w:r w:rsidR="005F2058" w:rsidRPr="00CD3A72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nota prot. </w:t>
      </w:r>
      <w:r w:rsidR="005F2058" w:rsidRPr="00471067">
        <w:rPr>
          <w:rFonts w:ascii="Trebuchet MS" w:eastAsia="Arial" w:hAnsi="Trebuchet MS"/>
          <w:color w:val="000000"/>
          <w:sz w:val="18"/>
          <w:szCs w:val="18"/>
          <w:lang w:eastAsia="zh-CN"/>
        </w:rPr>
        <w:t>N.1279/2022 del 11</w:t>
      </w:r>
      <w:r w:rsidR="00EA3C62">
        <w:rPr>
          <w:rFonts w:ascii="Trebuchet MS" w:eastAsia="Arial" w:hAnsi="Trebuchet MS"/>
          <w:color w:val="000000"/>
          <w:sz w:val="18"/>
          <w:szCs w:val="18"/>
          <w:lang w:eastAsia="zh-CN"/>
        </w:rPr>
        <w:t>/</w:t>
      </w:r>
      <w:r w:rsidR="005F2058" w:rsidRPr="00471067">
        <w:rPr>
          <w:rFonts w:ascii="Trebuchet MS" w:eastAsia="Arial" w:hAnsi="Trebuchet MS"/>
          <w:color w:val="000000"/>
          <w:sz w:val="18"/>
          <w:szCs w:val="18"/>
          <w:lang w:eastAsia="zh-CN"/>
        </w:rPr>
        <w:t>04</w:t>
      </w:r>
      <w:r w:rsidR="00EA3C62">
        <w:rPr>
          <w:rFonts w:ascii="Trebuchet MS" w:eastAsia="Arial" w:hAnsi="Trebuchet MS"/>
          <w:color w:val="000000"/>
          <w:sz w:val="18"/>
          <w:szCs w:val="18"/>
          <w:lang w:eastAsia="zh-CN"/>
        </w:rPr>
        <w:t>/</w:t>
      </w:r>
      <w:r w:rsidR="005F2058" w:rsidRPr="00471067">
        <w:rPr>
          <w:rFonts w:ascii="Trebuchet MS" w:eastAsia="Arial" w:hAnsi="Trebuchet MS"/>
          <w:color w:val="000000"/>
          <w:sz w:val="18"/>
          <w:szCs w:val="18"/>
          <w:lang w:eastAsia="zh-CN"/>
        </w:rPr>
        <w:t>2022</w:t>
      </w:r>
      <w:r w:rsidR="005F2058">
        <w:rPr>
          <w:rFonts w:ascii="Trebuchet MS" w:eastAsia="Arial" w:hAnsi="Trebuchet MS"/>
          <w:color w:val="000000"/>
          <w:sz w:val="18"/>
          <w:szCs w:val="18"/>
          <w:lang w:eastAsia="zh-CN"/>
        </w:rPr>
        <w:t>.</w:t>
      </w:r>
      <w:r w:rsidRPr="00A42154">
        <w:rPr>
          <w:rFonts w:ascii="Trebuchet MS" w:hAnsi="Trebuchet MS"/>
          <w:sz w:val="18"/>
          <w:szCs w:val="18"/>
        </w:rPr>
        <w:t xml:space="preserve"> </w:t>
      </w:r>
    </w:p>
    <w:p w14:paraId="16E7521C" w14:textId="77777777" w:rsidR="00CB4B91" w:rsidRPr="00A42154" w:rsidRDefault="00CB4B91" w:rsidP="00154394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Detto elaborato contabile si compone dei seguenti documenti:</w:t>
      </w:r>
    </w:p>
    <w:p w14:paraId="6DD167EB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Bozza Proposta di Delibera predisposta dall’Ufficio Ragioneria dell’Ente;</w:t>
      </w:r>
    </w:p>
    <w:p w14:paraId="158CA413" w14:textId="3A769DC8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Entrate per Titoli e Tipologie (All_A1; All_A2)</w:t>
      </w:r>
    </w:p>
    <w:p w14:paraId="5D76DEF9" w14:textId="20691553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Spese per Missioni, Programmi, Titoli e</w:t>
      </w:r>
      <w:r w:rsidR="00DB244C">
        <w:rPr>
          <w:rFonts w:ascii="Trebuchet MS" w:hAnsi="Trebuchet MS"/>
          <w:sz w:val="18"/>
          <w:szCs w:val="18"/>
        </w:rPr>
        <w:t xml:space="preserve"> </w:t>
      </w:r>
      <w:r w:rsidRPr="005F2058">
        <w:rPr>
          <w:rFonts w:ascii="Trebuchet MS" w:hAnsi="Trebuchet MS"/>
          <w:sz w:val="18"/>
          <w:szCs w:val="18"/>
        </w:rPr>
        <w:t>Macroaggregati (All_B1; All_B2; All_B3);</w:t>
      </w:r>
    </w:p>
    <w:p w14:paraId="3454EE6B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PEG Entrate (All_C);</w:t>
      </w:r>
    </w:p>
    <w:p w14:paraId="394B514B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PEG Spesa (All_D);</w:t>
      </w:r>
    </w:p>
    <w:p w14:paraId="197A7C98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Equilibri di Bilancio (All_E);</w:t>
      </w:r>
    </w:p>
    <w:p w14:paraId="0B0A9E9A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Quadro Generale Riassuntivo (All_F);</w:t>
      </w:r>
    </w:p>
    <w:p w14:paraId="31732315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Prospetto del risultato di amministrazione presunto al 31/12/2021 (All_G);</w:t>
      </w:r>
    </w:p>
    <w:p w14:paraId="2915ABC1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Composizione per missioni e programmi del Fondo Pluriennale Vincolato (All_H);</w:t>
      </w:r>
    </w:p>
    <w:p w14:paraId="3F6ADDC2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Composizione del Fondo crediti di dubbia esigibilità (All_I);</w:t>
      </w:r>
    </w:p>
    <w:p w14:paraId="01CA42BB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Elenco spese obbligatorie (All_L);</w:t>
      </w:r>
    </w:p>
    <w:p w14:paraId="476EBEF3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Elenco delle spese che possono essere finanziate con il fondo di riserva anno 2022 (All_M);</w:t>
      </w:r>
    </w:p>
    <w:p w14:paraId="7EA040E6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Prospetto dimostrativo dei vincoli di indebitamento (All_N);</w:t>
      </w:r>
    </w:p>
    <w:p w14:paraId="64E6B97A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Nota integrativa (All_O);</w:t>
      </w:r>
    </w:p>
    <w:p w14:paraId="02667C54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Indicatori di Bilancio (All_P);</w:t>
      </w:r>
    </w:p>
    <w:p w14:paraId="30BC516C" w14:textId="77777777" w:rsidR="005F2058" w:rsidRP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Indicatore tempestività dei pagamenti (ALL_Q);</w:t>
      </w:r>
    </w:p>
    <w:p w14:paraId="56B4CFE7" w14:textId="438C6AD6" w:rsid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  <w:r w:rsidRPr="005F2058">
        <w:rPr>
          <w:rFonts w:ascii="Trebuchet MS" w:hAnsi="Trebuchet MS"/>
          <w:sz w:val="18"/>
          <w:szCs w:val="18"/>
        </w:rPr>
        <w:t>- Relazione al Bilancio di Previsione 2022-2024 (All_R).</w:t>
      </w:r>
    </w:p>
    <w:p w14:paraId="0937A203" w14:textId="77777777" w:rsidR="005F2058" w:rsidRDefault="005F2058" w:rsidP="00154394">
      <w:pPr>
        <w:ind w:firstLine="0"/>
        <w:rPr>
          <w:rFonts w:ascii="Trebuchet MS" w:hAnsi="Trebuchet MS"/>
          <w:sz w:val="18"/>
          <w:szCs w:val="18"/>
        </w:rPr>
      </w:pPr>
    </w:p>
    <w:p w14:paraId="1305E79F" w14:textId="440EA39D" w:rsidR="005F2058" w:rsidRDefault="002E209C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L’Organo di revisione dell’Ersu di Enna</w:t>
      </w:r>
    </w:p>
    <w:p w14:paraId="61CE1A3E" w14:textId="31DE07F2" w:rsidR="002E209C" w:rsidRPr="00A303FB" w:rsidRDefault="002E209C" w:rsidP="00297502">
      <w:pPr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  <w:r w:rsidRPr="00A303FB">
        <w:rPr>
          <w:rFonts w:ascii="Trebuchet MS" w:hAnsi="Trebuchet MS"/>
          <w:b/>
          <w:bCs/>
          <w:sz w:val="18"/>
          <w:szCs w:val="18"/>
        </w:rPr>
        <w:t>premesso</w:t>
      </w:r>
    </w:p>
    <w:p w14:paraId="6E20AF46" w14:textId="4768C8EA" w:rsidR="002E209C" w:rsidRDefault="002E209C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- che l’Ente deve redigere il Bilancio di previsione rispettando i principi contabili generali e applicati alla contabilità finanziaria di cui al D.Lgs. 118/2011 e ss.mm.ii;</w:t>
      </w:r>
    </w:p>
    <w:p w14:paraId="19F08849" w14:textId="7746938D" w:rsidR="002E209C" w:rsidRDefault="002E209C" w:rsidP="00154394">
      <w:pPr>
        <w:ind w:firstLine="0"/>
        <w:rPr>
          <w:rFonts w:ascii="Trebuchet MS" w:eastAsia="Arial" w:hAnsi="Trebuchet MS"/>
          <w:color w:val="000000"/>
          <w:sz w:val="18"/>
          <w:szCs w:val="18"/>
          <w:lang w:eastAsia="zh-CN"/>
        </w:rPr>
      </w:pPr>
      <w:r>
        <w:rPr>
          <w:rFonts w:ascii="Trebuchet MS" w:hAnsi="Trebuchet MS"/>
          <w:sz w:val="18"/>
          <w:szCs w:val="18"/>
        </w:rPr>
        <w:t xml:space="preserve">- che in data </w:t>
      </w:r>
      <w:r w:rsidRPr="00471067">
        <w:rPr>
          <w:rFonts w:ascii="Trebuchet MS" w:eastAsia="Arial" w:hAnsi="Trebuchet MS"/>
          <w:color w:val="000000"/>
          <w:sz w:val="18"/>
          <w:szCs w:val="18"/>
          <w:lang w:eastAsia="zh-CN"/>
        </w:rPr>
        <w:t>11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>/</w:t>
      </w:r>
      <w:r w:rsidRPr="00471067">
        <w:rPr>
          <w:rFonts w:ascii="Trebuchet MS" w:eastAsia="Arial" w:hAnsi="Trebuchet MS"/>
          <w:color w:val="000000"/>
          <w:sz w:val="18"/>
          <w:szCs w:val="18"/>
          <w:lang w:eastAsia="zh-CN"/>
        </w:rPr>
        <w:t>04</w:t>
      </w: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>/</w:t>
      </w:r>
      <w:r w:rsidRPr="00471067">
        <w:rPr>
          <w:rFonts w:ascii="Trebuchet MS" w:eastAsia="Arial" w:hAnsi="Trebuchet MS"/>
          <w:color w:val="000000"/>
          <w:sz w:val="18"/>
          <w:szCs w:val="18"/>
          <w:lang w:eastAsia="zh-CN"/>
        </w:rPr>
        <w:t>2022</w:t>
      </w:r>
      <w:r w:rsidR="00EA3C62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 ha ricevuto </w:t>
      </w:r>
      <w:r w:rsidR="00073CDA"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il </w:t>
      </w:r>
      <w:r w:rsidR="00EA3C62" w:rsidRPr="00A42154">
        <w:rPr>
          <w:rFonts w:ascii="Trebuchet MS" w:hAnsi="Trebuchet MS"/>
          <w:sz w:val="18"/>
          <w:szCs w:val="18"/>
        </w:rPr>
        <w:t xml:space="preserve">Bilancio di Previsione </w:t>
      </w:r>
      <w:r w:rsidR="00EA3C62">
        <w:rPr>
          <w:rFonts w:ascii="Trebuchet MS" w:hAnsi="Trebuchet MS"/>
          <w:sz w:val="18"/>
          <w:szCs w:val="18"/>
        </w:rPr>
        <w:t xml:space="preserve">2022-2024 </w:t>
      </w:r>
      <w:r w:rsidR="00EA3C62" w:rsidRPr="00A42154">
        <w:rPr>
          <w:rFonts w:ascii="Trebuchet MS" w:eastAsia="Arial" w:hAnsi="Trebuchet MS"/>
          <w:color w:val="000000"/>
          <w:sz w:val="18"/>
          <w:szCs w:val="18"/>
          <w:lang w:eastAsia="zh-CN"/>
        </w:rPr>
        <w:t>corredato della relativa documentazione</w:t>
      </w:r>
      <w:r w:rsidR="00073CDA">
        <w:rPr>
          <w:rFonts w:ascii="Trebuchet MS" w:eastAsia="Arial" w:hAnsi="Trebuchet MS"/>
          <w:color w:val="000000"/>
          <w:sz w:val="18"/>
          <w:szCs w:val="18"/>
          <w:lang w:eastAsia="zh-CN"/>
        </w:rPr>
        <w:t>;</w:t>
      </w:r>
    </w:p>
    <w:p w14:paraId="6997747E" w14:textId="2B690291" w:rsidR="00073CDA" w:rsidRDefault="00073CDA" w:rsidP="00154394">
      <w:pPr>
        <w:ind w:firstLine="0"/>
        <w:rPr>
          <w:rFonts w:ascii="Trebuchet MS" w:hAnsi="Trebuchet MS"/>
          <w:bCs/>
          <w:sz w:val="18"/>
          <w:szCs w:val="18"/>
        </w:rPr>
      </w:pPr>
      <w:r>
        <w:rPr>
          <w:rFonts w:ascii="Trebuchet MS" w:eastAsia="Arial" w:hAnsi="Trebuchet MS"/>
          <w:color w:val="000000"/>
          <w:sz w:val="18"/>
          <w:szCs w:val="18"/>
          <w:lang w:eastAsia="zh-CN"/>
        </w:rPr>
        <w:t xml:space="preserve">- che al bilancio di previsione, </w:t>
      </w:r>
      <w:r w:rsidRPr="0059548A">
        <w:rPr>
          <w:rFonts w:ascii="Trebuchet MS" w:hAnsi="Trebuchet MS"/>
          <w:sz w:val="18"/>
          <w:szCs w:val="18"/>
        </w:rPr>
        <w:t>come previsto dal regolamento di contabilità dell’Ente</w:t>
      </w:r>
      <w:r>
        <w:rPr>
          <w:rFonts w:ascii="Trebuchet MS" w:hAnsi="Trebuchet MS"/>
          <w:sz w:val="18"/>
          <w:szCs w:val="18"/>
        </w:rPr>
        <w:t xml:space="preserve">, risultano allegati tutti i documenti </w:t>
      </w:r>
      <w:r w:rsidR="0044596B">
        <w:rPr>
          <w:rFonts w:ascii="Trebuchet MS" w:hAnsi="Trebuchet MS"/>
          <w:sz w:val="18"/>
          <w:szCs w:val="18"/>
        </w:rPr>
        <w:t>prescritti</w:t>
      </w:r>
      <w:r>
        <w:rPr>
          <w:rFonts w:ascii="Trebuchet MS" w:hAnsi="Trebuchet MS"/>
          <w:sz w:val="18"/>
          <w:szCs w:val="18"/>
        </w:rPr>
        <w:t xml:space="preserve"> </w:t>
      </w:r>
      <w:r w:rsidR="00F006EE">
        <w:rPr>
          <w:rFonts w:ascii="Trebuchet MS" w:hAnsi="Trebuchet MS"/>
          <w:sz w:val="18"/>
          <w:szCs w:val="18"/>
        </w:rPr>
        <w:t>dalla</w:t>
      </w:r>
      <w:r w:rsidRPr="001F0971">
        <w:rPr>
          <w:rFonts w:ascii="Trebuchet MS" w:hAnsi="Trebuchet MS"/>
          <w:bCs/>
          <w:sz w:val="18"/>
          <w:szCs w:val="18"/>
        </w:rPr>
        <w:t xml:space="preserve"> normativa vigente in materia</w:t>
      </w:r>
      <w:r w:rsidR="00F006EE">
        <w:rPr>
          <w:rFonts w:ascii="Trebuchet MS" w:hAnsi="Trebuchet MS"/>
          <w:bCs/>
          <w:sz w:val="18"/>
          <w:szCs w:val="18"/>
        </w:rPr>
        <w:t>;</w:t>
      </w:r>
    </w:p>
    <w:p w14:paraId="7E5E2576" w14:textId="0C8EA821" w:rsidR="00F006EE" w:rsidRPr="00A303FB" w:rsidRDefault="00F006EE" w:rsidP="00297502">
      <w:pPr>
        <w:ind w:firstLine="0"/>
        <w:jc w:val="center"/>
        <w:rPr>
          <w:rFonts w:ascii="Trebuchet MS" w:hAnsi="Trebuchet MS"/>
          <w:b/>
          <w:sz w:val="18"/>
          <w:szCs w:val="18"/>
        </w:rPr>
      </w:pPr>
      <w:r w:rsidRPr="00A303FB">
        <w:rPr>
          <w:rFonts w:ascii="Trebuchet MS" w:hAnsi="Trebuchet MS"/>
          <w:b/>
          <w:sz w:val="18"/>
          <w:szCs w:val="18"/>
        </w:rPr>
        <w:t>visto</w:t>
      </w:r>
    </w:p>
    <w:p w14:paraId="57D4AF69" w14:textId="440C153D" w:rsidR="00F006EE" w:rsidRDefault="00F006EE" w:rsidP="00154394">
      <w:pPr>
        <w:ind w:firstLine="0"/>
        <w:rPr>
          <w:rFonts w:ascii="Trebuchet MS" w:hAnsi="Trebuchet MS"/>
          <w:bCs/>
          <w:sz w:val="18"/>
          <w:szCs w:val="18"/>
        </w:rPr>
      </w:pPr>
      <w:r>
        <w:rPr>
          <w:rFonts w:ascii="Trebuchet MS" w:hAnsi="Trebuchet MS"/>
          <w:bCs/>
          <w:sz w:val="18"/>
          <w:szCs w:val="18"/>
        </w:rPr>
        <w:t>- il regolamento di contabilità dell’Ente;</w:t>
      </w:r>
    </w:p>
    <w:p w14:paraId="1E979749" w14:textId="64F56809" w:rsidR="00F006EE" w:rsidRDefault="00F006EE" w:rsidP="00154394">
      <w:pPr>
        <w:ind w:firstLine="0"/>
        <w:rPr>
          <w:rFonts w:ascii="Trebuchet MS" w:hAnsi="Trebuchet MS"/>
          <w:bCs/>
          <w:sz w:val="18"/>
          <w:szCs w:val="18"/>
        </w:rPr>
      </w:pPr>
      <w:r>
        <w:rPr>
          <w:rFonts w:ascii="Trebuchet MS" w:hAnsi="Trebuchet MS"/>
          <w:bCs/>
          <w:sz w:val="18"/>
          <w:szCs w:val="18"/>
        </w:rPr>
        <w:t xml:space="preserve">- il Parere di regolarità tecnica espresso dal </w:t>
      </w:r>
      <w:r w:rsidR="00297502">
        <w:rPr>
          <w:rFonts w:ascii="Trebuchet MS" w:hAnsi="Trebuchet MS"/>
          <w:bCs/>
          <w:sz w:val="18"/>
          <w:szCs w:val="18"/>
        </w:rPr>
        <w:t>Direttore Dott. Filippo Fiammetta</w:t>
      </w:r>
      <w:r>
        <w:rPr>
          <w:rFonts w:ascii="Trebuchet MS" w:hAnsi="Trebuchet MS"/>
          <w:bCs/>
          <w:sz w:val="18"/>
          <w:szCs w:val="18"/>
        </w:rPr>
        <w:t>;</w:t>
      </w:r>
    </w:p>
    <w:p w14:paraId="154B688F" w14:textId="55A00677" w:rsidR="00F006EE" w:rsidRDefault="00F006EE" w:rsidP="00154394">
      <w:pPr>
        <w:ind w:firstLine="0"/>
        <w:rPr>
          <w:rFonts w:ascii="Trebuchet MS" w:hAnsi="Trebuchet MS"/>
          <w:bCs/>
          <w:sz w:val="18"/>
          <w:szCs w:val="18"/>
        </w:rPr>
      </w:pPr>
      <w:r>
        <w:rPr>
          <w:rFonts w:ascii="Trebuchet MS" w:hAnsi="Trebuchet MS"/>
          <w:bCs/>
          <w:sz w:val="18"/>
          <w:szCs w:val="18"/>
        </w:rPr>
        <w:t xml:space="preserve">- il Parere di regolarità contabile espresso dal </w:t>
      </w:r>
      <w:r w:rsidR="00297502">
        <w:rPr>
          <w:rFonts w:ascii="Trebuchet MS" w:hAnsi="Trebuchet MS"/>
          <w:bCs/>
          <w:sz w:val="18"/>
          <w:szCs w:val="18"/>
        </w:rPr>
        <w:t>Direttore Dott. Filippo Fiammetta</w:t>
      </w:r>
      <w:r>
        <w:rPr>
          <w:rFonts w:ascii="Trebuchet MS" w:hAnsi="Trebuchet MS"/>
          <w:bCs/>
          <w:sz w:val="18"/>
          <w:szCs w:val="18"/>
        </w:rPr>
        <w:t>;</w:t>
      </w:r>
    </w:p>
    <w:p w14:paraId="49BE318B" w14:textId="207F8561" w:rsidR="00F006EE" w:rsidRDefault="00F006EE" w:rsidP="00154394">
      <w:pPr>
        <w:ind w:firstLine="0"/>
        <w:rPr>
          <w:rFonts w:ascii="Trebuchet MS" w:hAnsi="Trebuchet MS"/>
          <w:bCs/>
          <w:sz w:val="18"/>
          <w:szCs w:val="18"/>
        </w:rPr>
      </w:pPr>
    </w:p>
    <w:p w14:paraId="572C9295" w14:textId="76945016" w:rsidR="00F006EE" w:rsidRDefault="00F006EE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Cs/>
          <w:sz w:val="18"/>
          <w:szCs w:val="18"/>
        </w:rPr>
        <w:t>ha effettuato le seguenti verifiche al fine di esprimere un motivato giudizio di coerenza, attendibilità e congruità contabile delle previsioni di bilancio e dei programmi e progetti</w:t>
      </w:r>
      <w:r w:rsidR="0044596B">
        <w:rPr>
          <w:rFonts w:ascii="Trebuchet MS" w:hAnsi="Trebuchet MS"/>
          <w:bCs/>
          <w:sz w:val="18"/>
          <w:szCs w:val="18"/>
        </w:rPr>
        <w:t>.</w:t>
      </w:r>
    </w:p>
    <w:p w14:paraId="0A558005" w14:textId="77777777" w:rsidR="005F2058" w:rsidRDefault="005F2058" w:rsidP="00CB4B91">
      <w:pPr>
        <w:ind w:firstLine="0"/>
        <w:rPr>
          <w:rFonts w:ascii="Trebuchet MS" w:hAnsi="Trebuchet MS"/>
          <w:sz w:val="18"/>
          <w:szCs w:val="18"/>
        </w:rPr>
      </w:pPr>
    </w:p>
    <w:p w14:paraId="2DEA30AC" w14:textId="2F9DC935" w:rsidR="005F2058" w:rsidRDefault="005F2058" w:rsidP="00CB4B91">
      <w:pPr>
        <w:ind w:firstLine="0"/>
        <w:rPr>
          <w:rFonts w:ascii="Trebuchet MS" w:hAnsi="Trebuchet MS"/>
          <w:sz w:val="18"/>
          <w:szCs w:val="18"/>
        </w:rPr>
      </w:pPr>
    </w:p>
    <w:p w14:paraId="533CBE56" w14:textId="77777777" w:rsidR="007913FE" w:rsidRDefault="007913FE" w:rsidP="00CB4B91">
      <w:pPr>
        <w:ind w:firstLine="0"/>
        <w:rPr>
          <w:rFonts w:ascii="Trebuchet MS" w:hAnsi="Trebuchet MS"/>
          <w:sz w:val="18"/>
          <w:szCs w:val="18"/>
        </w:rPr>
      </w:pPr>
    </w:p>
    <w:p w14:paraId="5F1AA0A3" w14:textId="566B7205" w:rsidR="00CB4B91" w:rsidRPr="00FB55BF" w:rsidRDefault="00CB4B91" w:rsidP="00BE2B09">
      <w:pPr>
        <w:spacing w:after="0" w:line="360" w:lineRule="auto"/>
        <w:ind w:firstLine="0"/>
        <w:jc w:val="center"/>
        <w:rPr>
          <w:rFonts w:ascii="Trebuchet MS" w:hAnsi="Trebuchet MS"/>
          <w:b/>
          <w:szCs w:val="22"/>
        </w:rPr>
      </w:pPr>
      <w:r w:rsidRPr="00FB55BF">
        <w:rPr>
          <w:rFonts w:ascii="Trebuchet MS" w:hAnsi="Trebuchet MS"/>
          <w:b/>
          <w:szCs w:val="22"/>
        </w:rPr>
        <w:t>CONSIDERAZIONI GENERALI</w:t>
      </w:r>
    </w:p>
    <w:p w14:paraId="1B9187E0" w14:textId="7302127D" w:rsidR="00CB4B91" w:rsidRPr="00A42154" w:rsidRDefault="00CB4B91" w:rsidP="00CB4B91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Il bilancio di previsione in esame è stato predisposto tenendo conto</w:t>
      </w:r>
      <w:r w:rsidR="00D870CC">
        <w:rPr>
          <w:rFonts w:ascii="Trebuchet MS" w:hAnsi="Trebuchet MS"/>
          <w:sz w:val="18"/>
          <w:szCs w:val="18"/>
        </w:rPr>
        <w:t xml:space="preserve"> </w:t>
      </w:r>
      <w:r w:rsidRPr="00A42154">
        <w:rPr>
          <w:rFonts w:ascii="Trebuchet MS" w:hAnsi="Trebuchet MS"/>
          <w:sz w:val="18"/>
          <w:szCs w:val="18"/>
        </w:rPr>
        <w:t>degli obiettivi, dei programmi, dei progetti e delle attività che i centri di responsabilità intendono conseguire nel corso dell’esercizio, come descritti nella relazione programmatica.</w:t>
      </w:r>
    </w:p>
    <w:p w14:paraId="1011EA04" w14:textId="77777777" w:rsidR="00B242B8" w:rsidRDefault="00CB4B91" w:rsidP="00CB4B91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Dalla documentazione fornita risulta che l’Ente ha provveduto alla redazione del prospetto riepilogativo nel quale viene riassunta la spesa classificata in base alle missioni ed ai programmi</w:t>
      </w:r>
      <w:r w:rsidR="00B242B8">
        <w:rPr>
          <w:rFonts w:ascii="Trebuchet MS" w:hAnsi="Trebuchet MS"/>
          <w:sz w:val="18"/>
          <w:szCs w:val="18"/>
        </w:rPr>
        <w:t>.</w:t>
      </w:r>
    </w:p>
    <w:p w14:paraId="39165D1D" w14:textId="40352DF2" w:rsidR="00CB4B91" w:rsidRPr="00F65810" w:rsidRDefault="00CB4B91" w:rsidP="00CB4B91">
      <w:pPr>
        <w:ind w:firstLine="0"/>
        <w:rPr>
          <w:rFonts w:ascii="Trebuchet MS" w:hAnsi="Trebuchet MS"/>
          <w:color w:val="000000" w:themeColor="text1"/>
          <w:sz w:val="18"/>
          <w:szCs w:val="18"/>
        </w:rPr>
      </w:pPr>
      <w:r w:rsidRPr="00F65810">
        <w:rPr>
          <w:rFonts w:ascii="Trebuchet MS" w:hAnsi="Trebuchet MS"/>
          <w:color w:val="000000" w:themeColor="text1"/>
          <w:sz w:val="18"/>
          <w:szCs w:val="18"/>
        </w:rPr>
        <w:t>Inoltre, è stato redatto, il piano degli indicatori e risultati attesi di bilancio</w:t>
      </w:r>
      <w:r w:rsidR="00130A33" w:rsidRPr="00F65810">
        <w:rPr>
          <w:rFonts w:ascii="Trebuchet MS" w:hAnsi="Trebuchet MS"/>
          <w:color w:val="000000" w:themeColor="text1"/>
          <w:sz w:val="18"/>
          <w:szCs w:val="18"/>
        </w:rPr>
        <w:t xml:space="preserve"> di cui all’art. 18-bis, d.glgs. 23 giugno 2011 n. 118</w:t>
      </w:r>
      <w:r w:rsidR="00F65810" w:rsidRPr="00F65810">
        <w:rPr>
          <w:rFonts w:ascii="Trebuchet MS" w:hAnsi="Trebuchet MS"/>
          <w:color w:val="000000" w:themeColor="text1"/>
          <w:sz w:val="18"/>
          <w:szCs w:val="18"/>
        </w:rPr>
        <w:t xml:space="preserve"> e s.m.i.</w:t>
      </w:r>
      <w:r w:rsidR="00130A33" w:rsidRPr="00F65810">
        <w:rPr>
          <w:rFonts w:ascii="Trebuchet MS" w:hAnsi="Trebuchet MS"/>
          <w:color w:val="000000" w:themeColor="text1"/>
          <w:sz w:val="18"/>
          <w:szCs w:val="18"/>
        </w:rPr>
        <w:t xml:space="preserve">, </w:t>
      </w:r>
      <w:r w:rsidRPr="00F65810">
        <w:rPr>
          <w:rFonts w:ascii="Trebuchet MS" w:hAnsi="Trebuchet MS"/>
          <w:color w:val="000000" w:themeColor="text1"/>
          <w:sz w:val="18"/>
          <w:szCs w:val="18"/>
        </w:rPr>
        <w:t>ed è stato adottato il piano dei conti integrato.</w:t>
      </w:r>
      <w:r w:rsidR="00130A33" w:rsidRPr="00F65810">
        <w:rPr>
          <w:rFonts w:ascii="Trebuchet MS" w:hAnsi="Trebuchet MS"/>
          <w:color w:val="000000" w:themeColor="text1"/>
          <w:sz w:val="18"/>
          <w:szCs w:val="18"/>
        </w:rPr>
        <w:t xml:space="preserve"> In riferimento a quest’ultimo è necessario evidenziare</w:t>
      </w:r>
      <w:r w:rsidR="00F65810" w:rsidRPr="00F65810">
        <w:rPr>
          <w:rFonts w:ascii="Trebuchet MS" w:hAnsi="Trebuchet MS"/>
          <w:color w:val="000000" w:themeColor="text1"/>
          <w:sz w:val="18"/>
          <w:szCs w:val="18"/>
        </w:rPr>
        <w:t>, così come rilevato anche dal precedente collegio,</w:t>
      </w:r>
      <w:r w:rsidR="00130A33" w:rsidRPr="00F65810">
        <w:rPr>
          <w:rFonts w:ascii="Trebuchet MS" w:hAnsi="Trebuchet MS"/>
          <w:color w:val="000000" w:themeColor="text1"/>
          <w:sz w:val="18"/>
          <w:szCs w:val="18"/>
        </w:rPr>
        <w:t xml:space="preserve"> che non trova applicazione il principio di integrazione tra contabilità finanziaria e contabilità economico-patrimoniale: non risulta applicato il principio della costruzione concomitante, e non di costruzione ex- post, dei dati contabili derivanti dalla riconciliazione della contabilità finanziaria.</w:t>
      </w:r>
    </w:p>
    <w:p w14:paraId="3F29210B" w14:textId="62CD84BE" w:rsidR="00647827" w:rsidRDefault="0044596B" w:rsidP="00647827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L’Ente non ha rispettato i termini di legge per l’adozione del bilancio di previsione 2022-2024. Si dà atto nella presente relazione che</w:t>
      </w:r>
      <w:r w:rsidR="00F65810">
        <w:rPr>
          <w:rFonts w:ascii="Trebuchet MS" w:hAnsi="Trebuchet MS"/>
          <w:sz w:val="18"/>
          <w:szCs w:val="18"/>
        </w:rPr>
        <w:t>, così come si evince dalla relazione al bilancio di previsione 2022-2024,</w:t>
      </w:r>
      <w:r>
        <w:rPr>
          <w:rFonts w:ascii="Trebuchet MS" w:hAnsi="Trebuchet MS"/>
          <w:sz w:val="18"/>
          <w:szCs w:val="18"/>
        </w:rPr>
        <w:t xml:space="preserve"> </w:t>
      </w:r>
      <w:r w:rsidR="00647827">
        <w:rPr>
          <w:rFonts w:ascii="Trebuchet MS" w:hAnsi="Trebuchet MS"/>
          <w:sz w:val="18"/>
          <w:szCs w:val="18"/>
        </w:rPr>
        <w:t>d</w:t>
      </w:r>
      <w:r w:rsidR="00647827" w:rsidRPr="00647827">
        <w:rPr>
          <w:rFonts w:ascii="Trebuchet MS" w:hAnsi="Trebuchet MS"/>
          <w:sz w:val="18"/>
          <w:szCs w:val="18"/>
        </w:rPr>
        <w:t>urante l’anno 2022</w:t>
      </w:r>
      <w:r w:rsidR="00647827">
        <w:rPr>
          <w:rFonts w:ascii="Trebuchet MS" w:hAnsi="Trebuchet MS"/>
          <w:sz w:val="18"/>
          <w:szCs w:val="18"/>
        </w:rPr>
        <w:t xml:space="preserve"> </w:t>
      </w:r>
      <w:r w:rsidR="003A69BA">
        <w:rPr>
          <w:rFonts w:ascii="Trebuchet MS" w:hAnsi="Trebuchet MS"/>
          <w:sz w:val="18"/>
          <w:szCs w:val="18"/>
        </w:rPr>
        <w:t xml:space="preserve">l’Ente </w:t>
      </w:r>
      <w:r w:rsidR="00647827" w:rsidRPr="00647827">
        <w:rPr>
          <w:rFonts w:ascii="Trebuchet MS" w:hAnsi="Trebuchet MS"/>
          <w:sz w:val="18"/>
          <w:szCs w:val="18"/>
        </w:rPr>
        <w:t>ha fatto ricorso alla gestione provvisoria, regolarmente</w:t>
      </w:r>
      <w:r w:rsidR="00647827">
        <w:rPr>
          <w:rFonts w:ascii="Trebuchet MS" w:hAnsi="Trebuchet MS"/>
          <w:sz w:val="18"/>
          <w:szCs w:val="18"/>
        </w:rPr>
        <w:t xml:space="preserve"> </w:t>
      </w:r>
      <w:r w:rsidR="00647827" w:rsidRPr="00647827">
        <w:rPr>
          <w:rFonts w:ascii="Trebuchet MS" w:hAnsi="Trebuchet MS"/>
          <w:sz w:val="18"/>
          <w:szCs w:val="18"/>
        </w:rPr>
        <w:t>autorizzata fino al 30/04/2022 con nota prot. n. 251 del 05/01/2022 del Servizio XII del</w:t>
      </w:r>
      <w:r w:rsidR="00647827">
        <w:rPr>
          <w:rFonts w:ascii="Trebuchet MS" w:hAnsi="Trebuchet MS"/>
          <w:sz w:val="18"/>
          <w:szCs w:val="18"/>
        </w:rPr>
        <w:t xml:space="preserve"> </w:t>
      </w:r>
      <w:r w:rsidR="00647827" w:rsidRPr="00647827">
        <w:rPr>
          <w:rFonts w:ascii="Trebuchet MS" w:hAnsi="Trebuchet MS"/>
          <w:sz w:val="18"/>
          <w:szCs w:val="18"/>
        </w:rPr>
        <w:t>Dipartimento Regionale Istruzione</w:t>
      </w:r>
      <w:r w:rsidR="00F65810">
        <w:rPr>
          <w:rFonts w:ascii="Trebuchet MS" w:hAnsi="Trebuchet MS"/>
          <w:sz w:val="18"/>
          <w:szCs w:val="18"/>
        </w:rPr>
        <w:t>.</w:t>
      </w:r>
    </w:p>
    <w:p w14:paraId="673E0265" w14:textId="06581194" w:rsidR="00647827" w:rsidRDefault="00647827" w:rsidP="00CB4B91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Al bilancio di previsione sono stati allegati tutti i documenti prescritti per Legge.</w:t>
      </w:r>
    </w:p>
    <w:p w14:paraId="1A151355" w14:textId="4CF6A4B1" w:rsidR="00647827" w:rsidRDefault="00647827" w:rsidP="00CB4B91">
      <w:pPr>
        <w:ind w:firstLine="0"/>
        <w:rPr>
          <w:rFonts w:ascii="Trebuchet MS" w:hAnsi="Trebuchet MS"/>
          <w:sz w:val="18"/>
          <w:szCs w:val="18"/>
        </w:rPr>
      </w:pPr>
    </w:p>
    <w:p w14:paraId="2D18E5FB" w14:textId="2F3B9332" w:rsidR="0012135B" w:rsidRDefault="0012135B" w:rsidP="00CB4B91">
      <w:pPr>
        <w:ind w:firstLine="0"/>
        <w:rPr>
          <w:rFonts w:ascii="Trebuchet MS" w:hAnsi="Trebuchet MS"/>
          <w:sz w:val="18"/>
          <w:szCs w:val="18"/>
        </w:rPr>
      </w:pPr>
    </w:p>
    <w:p w14:paraId="1B8AA3CF" w14:textId="77777777" w:rsidR="0012135B" w:rsidRDefault="0012135B" w:rsidP="00CB4B91">
      <w:pPr>
        <w:ind w:firstLine="0"/>
        <w:rPr>
          <w:rFonts w:ascii="Trebuchet MS" w:hAnsi="Trebuchet MS"/>
          <w:sz w:val="18"/>
          <w:szCs w:val="18"/>
        </w:rPr>
      </w:pPr>
    </w:p>
    <w:p w14:paraId="447FF33F" w14:textId="14229209" w:rsidR="00647827" w:rsidRDefault="003A69BA" w:rsidP="003A69BA">
      <w:pPr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  <w:r w:rsidRPr="003A69BA">
        <w:rPr>
          <w:rFonts w:ascii="Trebuchet MS" w:hAnsi="Trebuchet MS"/>
          <w:b/>
          <w:bCs/>
          <w:sz w:val="18"/>
          <w:szCs w:val="18"/>
        </w:rPr>
        <w:t>VERIFICHE DEGLI EQUILIBRI DELL’ESERCIZIO PRECEDENTE</w:t>
      </w:r>
    </w:p>
    <w:p w14:paraId="5C893042" w14:textId="0CA004CA" w:rsidR="003A69BA" w:rsidRPr="003A69BA" w:rsidRDefault="003A69BA" w:rsidP="00154394">
      <w:pPr>
        <w:ind w:firstLine="0"/>
        <w:rPr>
          <w:rFonts w:ascii="Trebuchet MS" w:hAnsi="Trebuchet MS"/>
          <w:sz w:val="18"/>
          <w:szCs w:val="18"/>
        </w:rPr>
      </w:pPr>
      <w:r w:rsidRPr="003A69BA">
        <w:rPr>
          <w:rFonts w:ascii="Trebuchet MS" w:hAnsi="Trebuchet MS"/>
          <w:sz w:val="18"/>
          <w:szCs w:val="18"/>
        </w:rPr>
        <w:t>La verifica dell’attendibilità delle previsioni richiede accurate analisi di tipo storico e programmatico.</w:t>
      </w:r>
    </w:p>
    <w:p w14:paraId="71E45E2B" w14:textId="5606A81C" w:rsidR="003A69BA" w:rsidRDefault="003A69BA" w:rsidP="00154394">
      <w:pPr>
        <w:ind w:firstLine="0"/>
        <w:rPr>
          <w:rFonts w:ascii="Trebuchet MS" w:hAnsi="Trebuchet MS"/>
          <w:sz w:val="18"/>
          <w:szCs w:val="18"/>
        </w:rPr>
      </w:pPr>
      <w:r w:rsidRPr="003A69BA">
        <w:rPr>
          <w:rFonts w:ascii="Trebuchet MS" w:hAnsi="Trebuchet MS"/>
          <w:sz w:val="18"/>
          <w:szCs w:val="18"/>
        </w:rPr>
        <w:t>Gli eventuali squilibri prec</w:t>
      </w:r>
      <w:r>
        <w:rPr>
          <w:rFonts w:ascii="Trebuchet MS" w:hAnsi="Trebuchet MS"/>
          <w:sz w:val="18"/>
          <w:szCs w:val="18"/>
        </w:rPr>
        <w:t>e</w:t>
      </w:r>
      <w:r w:rsidRPr="003A69BA">
        <w:rPr>
          <w:rFonts w:ascii="Trebuchet MS" w:hAnsi="Trebuchet MS"/>
          <w:sz w:val="18"/>
          <w:szCs w:val="18"/>
        </w:rPr>
        <w:t>denti si ripercuotono inevitabilmente, se non rimediati, negli esercizi successivi.</w:t>
      </w:r>
    </w:p>
    <w:p w14:paraId="586C11D6" w14:textId="3A13092B" w:rsidR="003A69BA" w:rsidRDefault="003A69BA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Come indicato nella delibera n.23/SEZAUT/2013/INPR della Corte dei Conti, il ciclo gestionale proviene dal passato e guarda al futuro.</w:t>
      </w:r>
    </w:p>
    <w:p w14:paraId="72FD8D56" w14:textId="0C0DB96A" w:rsidR="00D92E56" w:rsidRPr="00542FFA" w:rsidRDefault="0034479A" w:rsidP="00154394">
      <w:pPr>
        <w:ind w:firstLine="0"/>
        <w:rPr>
          <w:rFonts w:ascii="Trebuchet MS" w:hAnsi="Trebuchet MS"/>
          <w:sz w:val="18"/>
          <w:szCs w:val="18"/>
        </w:rPr>
      </w:pPr>
      <w:r w:rsidRPr="00542FFA">
        <w:rPr>
          <w:rFonts w:ascii="Trebuchet MS" w:hAnsi="Trebuchet MS"/>
          <w:sz w:val="18"/>
          <w:szCs w:val="18"/>
        </w:rPr>
        <w:t>L’Ente, a tutt’oggi, non ha approvato il bilancio consuntivo 2021</w:t>
      </w:r>
      <w:r w:rsidR="004F527F" w:rsidRPr="00542FFA">
        <w:rPr>
          <w:rFonts w:ascii="Trebuchet MS" w:hAnsi="Trebuchet MS"/>
          <w:sz w:val="18"/>
          <w:szCs w:val="18"/>
        </w:rPr>
        <w:t>. Infatti, il Collegio per una maggiore intellegibilità dei dati contenuti nel bilancio di previsione 2022-2024, ha richiesto</w:t>
      </w:r>
      <w:r w:rsidR="007716D2" w:rsidRPr="00542FFA">
        <w:rPr>
          <w:rFonts w:ascii="Trebuchet MS" w:hAnsi="Trebuchet MS"/>
          <w:sz w:val="18"/>
          <w:szCs w:val="18"/>
        </w:rPr>
        <w:t xml:space="preserve"> tramite contatto telefonico</w:t>
      </w:r>
      <w:r w:rsidR="004F527F" w:rsidRPr="00542FFA">
        <w:rPr>
          <w:rFonts w:ascii="Trebuchet MS" w:hAnsi="Trebuchet MS"/>
          <w:sz w:val="18"/>
          <w:szCs w:val="18"/>
        </w:rPr>
        <w:t xml:space="preserve"> all’ente una copia della bozza di preconsuntivo 2021</w:t>
      </w:r>
      <w:r w:rsidR="007716D2" w:rsidRPr="00542FFA">
        <w:rPr>
          <w:rFonts w:ascii="Trebuchet MS" w:hAnsi="Trebuchet MS"/>
          <w:sz w:val="18"/>
          <w:szCs w:val="18"/>
        </w:rPr>
        <w:t xml:space="preserve"> trasmessa con mail del 22/04/2022 dall’ing. Graziella Bonomo.</w:t>
      </w:r>
    </w:p>
    <w:p w14:paraId="07538F91" w14:textId="0E71AB82" w:rsidR="003A69BA" w:rsidRPr="003A69BA" w:rsidRDefault="00D92E56" w:rsidP="00154394">
      <w:pPr>
        <w:ind w:firstLine="0"/>
        <w:rPr>
          <w:rFonts w:ascii="Trebuchet MS" w:hAnsi="Trebuchet MS"/>
          <w:sz w:val="18"/>
          <w:szCs w:val="18"/>
        </w:rPr>
      </w:pPr>
      <w:r w:rsidRPr="00B45409">
        <w:rPr>
          <w:rFonts w:ascii="Trebuchet MS" w:hAnsi="Trebuchet MS"/>
          <w:sz w:val="18"/>
          <w:szCs w:val="18"/>
        </w:rPr>
        <w:t>Dalle comunicazioni ricevute non risultano debiti fuori bilancio</w:t>
      </w:r>
      <w:r w:rsidR="000E668F" w:rsidRPr="00B45409">
        <w:rPr>
          <w:rFonts w:ascii="Trebuchet MS" w:hAnsi="Trebuchet MS"/>
          <w:sz w:val="18"/>
          <w:szCs w:val="18"/>
        </w:rPr>
        <w:t>.</w:t>
      </w:r>
      <w:r w:rsidR="00621734" w:rsidRPr="00B45409">
        <w:rPr>
          <w:rFonts w:ascii="Trebuchet MS" w:hAnsi="Trebuchet MS"/>
          <w:sz w:val="18"/>
          <w:szCs w:val="18"/>
        </w:rPr>
        <w:t xml:space="preserve"> </w:t>
      </w:r>
    </w:p>
    <w:p w14:paraId="67FC616E" w14:textId="30BAE9FB" w:rsidR="00147233" w:rsidRDefault="00147233" w:rsidP="00445A10">
      <w:pPr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</w:p>
    <w:p w14:paraId="0DAF1B5A" w14:textId="16D73C07" w:rsidR="0012135B" w:rsidRDefault="0012135B" w:rsidP="00445A10">
      <w:pPr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</w:p>
    <w:p w14:paraId="02024293" w14:textId="77777777" w:rsidR="0012135B" w:rsidRDefault="0012135B" w:rsidP="00445A10">
      <w:pPr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</w:p>
    <w:p w14:paraId="5832B651" w14:textId="4905C308" w:rsidR="00147233" w:rsidRDefault="000E668F" w:rsidP="00445A10">
      <w:pPr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>BILANCIO DI PREVISIONE 2022-2024</w:t>
      </w:r>
    </w:p>
    <w:p w14:paraId="185593F9" w14:textId="2652A402" w:rsidR="00F06111" w:rsidRDefault="00F06111" w:rsidP="00154394">
      <w:pPr>
        <w:ind w:firstLine="0"/>
        <w:rPr>
          <w:rFonts w:ascii="Trebuchet MS" w:hAnsi="Trebuchet MS"/>
          <w:sz w:val="18"/>
          <w:szCs w:val="18"/>
        </w:rPr>
      </w:pPr>
      <w:r w:rsidRPr="00F06111">
        <w:rPr>
          <w:rFonts w:ascii="Trebuchet MS" w:hAnsi="Trebuchet MS"/>
          <w:sz w:val="18"/>
          <w:szCs w:val="18"/>
        </w:rPr>
        <w:t>L’Organo di revisione ha verificato, mediante controlli a campione, che il sistema contabile adottato dall’ente, nell’ambito del quale</w:t>
      </w:r>
      <w:r>
        <w:rPr>
          <w:rFonts w:ascii="Trebuchet MS" w:hAnsi="Trebuchet MS"/>
          <w:sz w:val="18"/>
          <w:szCs w:val="18"/>
        </w:rPr>
        <w:t xml:space="preserve"> è stato predisposto il bilancio di previsione, utilizza le codifiche della contabilità armonizzata.</w:t>
      </w:r>
    </w:p>
    <w:p w14:paraId="4B6AADFA" w14:textId="216512BE" w:rsidR="00F06111" w:rsidRPr="005B7BBA" w:rsidRDefault="00F06111" w:rsidP="00154394">
      <w:pPr>
        <w:ind w:firstLine="0"/>
        <w:rPr>
          <w:rFonts w:ascii="Trebuchet MS" w:hAnsi="Trebuchet MS"/>
          <w:color w:val="FF0000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L’impostazione del bilancio di previsione 2022-2024 è tale da garantire il rispetto del saldo di competenza d’esercizio non negativo ai sensi dell’art.1, comma 821, Legge n.145/2018</w:t>
      </w:r>
      <w:r w:rsidR="007C5667">
        <w:rPr>
          <w:rFonts w:ascii="Trebuchet MS" w:hAnsi="Trebuchet MS"/>
          <w:sz w:val="18"/>
          <w:szCs w:val="18"/>
        </w:rPr>
        <w:t xml:space="preserve"> (Legge di bilancio 2019).</w:t>
      </w:r>
    </w:p>
    <w:p w14:paraId="275B82C6" w14:textId="53070017" w:rsidR="00CD3DE3" w:rsidRDefault="00CD3DE3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Il Bilancio di previsione proposto rispetta il pareggio finanziario complessivo di competenza e gli equilibri di parte corrente e in conto capitale.</w:t>
      </w:r>
    </w:p>
    <w:p w14:paraId="7E1BDED9" w14:textId="77777777" w:rsidR="0012135B" w:rsidRDefault="0012135B" w:rsidP="00154394">
      <w:pPr>
        <w:ind w:firstLine="0"/>
        <w:rPr>
          <w:rFonts w:ascii="Trebuchet MS" w:hAnsi="Trebuchet MS"/>
          <w:sz w:val="18"/>
          <w:szCs w:val="18"/>
        </w:rPr>
      </w:pPr>
    </w:p>
    <w:p w14:paraId="4E9B5DA7" w14:textId="3D6245C8" w:rsidR="00CD3DE3" w:rsidRPr="00F06111" w:rsidRDefault="00CD3DE3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Le previsioni di competenza per gli anni 2022, 2023 e 2024 confrontate con le previsioni per l’anno 2021 sono così formulate:</w:t>
      </w:r>
    </w:p>
    <w:p w14:paraId="7BAFB887" w14:textId="2BC0A5E5" w:rsidR="000E668F" w:rsidRDefault="000E668F" w:rsidP="00154394">
      <w:pPr>
        <w:ind w:firstLine="0"/>
        <w:rPr>
          <w:rFonts w:ascii="Trebuchet MS" w:hAnsi="Trebuchet MS"/>
          <w:b/>
          <w:bCs/>
          <w:sz w:val="18"/>
          <w:szCs w:val="18"/>
        </w:rPr>
      </w:pPr>
    </w:p>
    <w:p w14:paraId="18A90748" w14:textId="142CA99D" w:rsidR="0012135B" w:rsidRDefault="0012135B" w:rsidP="000E668F">
      <w:pPr>
        <w:ind w:firstLine="0"/>
        <w:jc w:val="left"/>
        <w:rPr>
          <w:rFonts w:ascii="Trebuchet MS" w:hAnsi="Trebuchet MS"/>
          <w:b/>
          <w:bCs/>
          <w:sz w:val="18"/>
          <w:szCs w:val="18"/>
        </w:rPr>
      </w:pPr>
    </w:p>
    <w:p w14:paraId="10739686" w14:textId="77777777" w:rsidR="0012135B" w:rsidRDefault="0012135B" w:rsidP="000E668F">
      <w:pPr>
        <w:ind w:firstLine="0"/>
        <w:jc w:val="left"/>
        <w:rPr>
          <w:rFonts w:ascii="Trebuchet MS" w:hAnsi="Trebuchet MS"/>
          <w:b/>
          <w:bCs/>
          <w:sz w:val="18"/>
          <w:szCs w:val="18"/>
        </w:rPr>
      </w:pPr>
    </w:p>
    <w:p w14:paraId="4F875BBD" w14:textId="77777777" w:rsidR="0012135B" w:rsidRDefault="0012135B" w:rsidP="000E668F">
      <w:pPr>
        <w:ind w:firstLine="0"/>
        <w:jc w:val="left"/>
        <w:rPr>
          <w:rFonts w:ascii="Trebuchet MS" w:hAnsi="Trebuchet MS"/>
          <w:b/>
          <w:bCs/>
          <w:sz w:val="18"/>
          <w:szCs w:val="18"/>
        </w:rPr>
      </w:pPr>
    </w:p>
    <w:p w14:paraId="7423F899" w14:textId="77777777" w:rsidR="00C565AB" w:rsidRDefault="00C565AB" w:rsidP="00445A10">
      <w:pPr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</w:p>
    <w:p w14:paraId="223E3902" w14:textId="3D0E9983" w:rsidR="00220273" w:rsidRDefault="00445A10" w:rsidP="00445A10">
      <w:pPr>
        <w:ind w:firstLine="0"/>
        <w:jc w:val="center"/>
        <w:rPr>
          <w:rFonts w:ascii="Trebuchet MS" w:hAnsi="Trebuchet MS"/>
          <w:b/>
          <w:bCs/>
          <w:color w:val="FF0000"/>
          <w:sz w:val="18"/>
          <w:szCs w:val="18"/>
        </w:rPr>
      </w:pPr>
      <w:r w:rsidRPr="00445A10">
        <w:rPr>
          <w:rFonts w:ascii="Trebuchet MS" w:hAnsi="Trebuchet MS"/>
          <w:b/>
          <w:bCs/>
          <w:sz w:val="18"/>
          <w:szCs w:val="18"/>
        </w:rPr>
        <w:t>RIEPILOGO GENERALE ENTRATE E SPESE PER TITOLI</w:t>
      </w:r>
    </w:p>
    <w:p w14:paraId="481DC1B7" w14:textId="0E4F8E49" w:rsidR="00445A10" w:rsidRDefault="00445A10" w:rsidP="00445A10">
      <w:pPr>
        <w:ind w:firstLine="0"/>
        <w:jc w:val="center"/>
        <w:rPr>
          <w:rFonts w:ascii="Trebuchet MS" w:hAnsi="Trebuchet MS"/>
          <w:sz w:val="18"/>
          <w:szCs w:val="18"/>
        </w:rPr>
      </w:pPr>
      <w:r w:rsidRPr="00445A10">
        <w:rPr>
          <w:noProof/>
        </w:rPr>
        <w:drawing>
          <wp:inline distT="0" distB="0" distL="0" distR="0" wp14:anchorId="41C6990B" wp14:editId="4A02E702">
            <wp:extent cx="6080166" cy="217328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31" cy="21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67F7" w14:textId="293E8817" w:rsidR="008C055E" w:rsidRDefault="003D52A3" w:rsidP="00F27F58">
      <w:pPr>
        <w:pStyle w:val="Standard"/>
        <w:spacing w:line="240" w:lineRule="auto"/>
        <w:jc w:val="both"/>
        <w:rPr>
          <w:rFonts w:ascii="Trebuchet MS" w:hAnsi="Trebuchet MS"/>
          <w:kern w:val="0"/>
          <w:sz w:val="18"/>
          <w:szCs w:val="18"/>
          <w:lang w:eastAsia="it-IT"/>
        </w:rPr>
      </w:pPr>
      <w:r w:rsidRPr="00157C9B">
        <w:rPr>
          <w:rFonts w:ascii="Trebuchet MS" w:hAnsi="Trebuchet MS"/>
          <w:kern w:val="0"/>
          <w:sz w:val="18"/>
          <w:szCs w:val="18"/>
          <w:lang w:eastAsia="it-IT"/>
        </w:rPr>
        <w:t xml:space="preserve">Dal prospetto si evidenzia una riduzione prudenziale nelle previsioni di competenza, alla luce probabilmente degli effetti pandemici. Si </w:t>
      </w:r>
      <w:r w:rsidR="006E43EF">
        <w:rPr>
          <w:rFonts w:ascii="Trebuchet MS" w:hAnsi="Trebuchet MS"/>
          <w:kern w:val="0"/>
          <w:sz w:val="18"/>
          <w:szCs w:val="18"/>
          <w:lang w:eastAsia="it-IT"/>
        </w:rPr>
        <w:t>ril</w:t>
      </w:r>
      <w:r w:rsidR="00FF1A60">
        <w:rPr>
          <w:rFonts w:ascii="Trebuchet MS" w:hAnsi="Trebuchet MS"/>
          <w:kern w:val="0"/>
          <w:sz w:val="18"/>
          <w:szCs w:val="18"/>
          <w:lang w:eastAsia="it-IT"/>
        </w:rPr>
        <w:t>ev</w:t>
      </w:r>
      <w:r w:rsidR="006E43EF">
        <w:rPr>
          <w:rFonts w:ascii="Trebuchet MS" w:hAnsi="Trebuchet MS"/>
          <w:kern w:val="0"/>
          <w:sz w:val="18"/>
          <w:szCs w:val="18"/>
          <w:lang w:eastAsia="it-IT"/>
        </w:rPr>
        <w:t>a</w:t>
      </w:r>
      <w:r w:rsidRPr="00157C9B">
        <w:rPr>
          <w:rFonts w:ascii="Trebuchet MS" w:hAnsi="Trebuchet MS"/>
          <w:kern w:val="0"/>
          <w:sz w:val="18"/>
          <w:szCs w:val="18"/>
          <w:lang w:eastAsia="it-IT"/>
        </w:rPr>
        <w:t xml:space="preserve"> tuttavia che tra le previsioni definitive di competenza 2021 del presente bilancio</w:t>
      </w:r>
      <w:r w:rsidR="00FF1A60">
        <w:rPr>
          <w:rFonts w:ascii="Trebuchet MS" w:hAnsi="Trebuchet MS"/>
          <w:kern w:val="0"/>
          <w:sz w:val="18"/>
          <w:szCs w:val="18"/>
          <w:lang w:eastAsia="it-IT"/>
        </w:rPr>
        <w:t xml:space="preserve"> di previsione 2022-2024</w:t>
      </w:r>
      <w:r w:rsidRPr="00157C9B">
        <w:rPr>
          <w:rFonts w:ascii="Trebuchet MS" w:hAnsi="Trebuchet MS"/>
          <w:kern w:val="0"/>
          <w:sz w:val="18"/>
          <w:szCs w:val="18"/>
          <w:lang w:eastAsia="it-IT"/>
        </w:rPr>
        <w:t xml:space="preserve"> e il previsionale 2021/2023 ci sono scostamenti pari a </w:t>
      </w:r>
      <w:r w:rsidRPr="00157C9B">
        <w:rPr>
          <w:rFonts w:ascii="Trebuchet MS" w:hAnsi="Trebuchet MS" w:hint="eastAsia"/>
          <w:kern w:val="0"/>
          <w:sz w:val="18"/>
          <w:szCs w:val="18"/>
          <w:lang w:eastAsia="it-IT"/>
        </w:rPr>
        <w:t>€</w:t>
      </w:r>
      <w:r w:rsidRPr="00157C9B">
        <w:rPr>
          <w:rFonts w:ascii="Trebuchet MS" w:hAnsi="Trebuchet MS"/>
          <w:kern w:val="0"/>
          <w:sz w:val="18"/>
          <w:szCs w:val="18"/>
          <w:lang w:eastAsia="it-IT"/>
        </w:rPr>
        <w:t xml:space="preserve"> 1.057.927,49,</w:t>
      </w:r>
      <w:r w:rsidR="006E43EF">
        <w:rPr>
          <w:rFonts w:ascii="Trebuchet MS" w:hAnsi="Trebuchet MS"/>
          <w:kern w:val="0"/>
          <w:sz w:val="18"/>
          <w:szCs w:val="18"/>
          <w:lang w:eastAsia="it-IT"/>
        </w:rPr>
        <w:t xml:space="preserve"> </w:t>
      </w:r>
      <w:r w:rsidRPr="00157C9B">
        <w:rPr>
          <w:rFonts w:ascii="Trebuchet MS" w:hAnsi="Trebuchet MS"/>
          <w:kern w:val="0"/>
          <w:sz w:val="18"/>
          <w:szCs w:val="18"/>
          <w:lang w:eastAsia="it-IT"/>
        </w:rPr>
        <w:t xml:space="preserve">derivanti da variazioni di bilancio nel corso dell'anno 2021 riconducibili alle seguenti </w:t>
      </w:r>
      <w:r w:rsidR="006E43EF">
        <w:rPr>
          <w:rFonts w:ascii="Trebuchet MS" w:hAnsi="Trebuchet MS"/>
          <w:kern w:val="0"/>
          <w:sz w:val="18"/>
          <w:szCs w:val="18"/>
          <w:lang w:eastAsia="it-IT"/>
        </w:rPr>
        <w:t>delibere:</w:t>
      </w:r>
    </w:p>
    <w:p w14:paraId="344F1EC4" w14:textId="43A818C6" w:rsidR="006E43EF" w:rsidRPr="00747BF1" w:rsidRDefault="006E43EF" w:rsidP="00F27F58">
      <w:pPr>
        <w:pStyle w:val="Standard"/>
        <w:spacing w:line="240" w:lineRule="auto"/>
        <w:jc w:val="both"/>
        <w:rPr>
          <w:rFonts w:ascii="Trebuchet MS" w:hAnsi="Trebuchet MS"/>
          <w:kern w:val="0"/>
          <w:sz w:val="18"/>
          <w:szCs w:val="18"/>
          <w:lang w:eastAsia="it-IT"/>
        </w:rPr>
      </w:pPr>
      <w:r w:rsidRPr="00747BF1">
        <w:rPr>
          <w:rFonts w:ascii="Trebuchet MS" w:hAnsi="Trebuchet MS"/>
          <w:kern w:val="0"/>
          <w:sz w:val="18"/>
          <w:szCs w:val="18"/>
          <w:lang w:eastAsia="it-IT"/>
        </w:rPr>
        <w:t>- delibera</w:t>
      </w:r>
      <w:r w:rsidR="0054715F">
        <w:rPr>
          <w:rFonts w:ascii="Trebuchet MS" w:hAnsi="Trebuchet MS"/>
          <w:kern w:val="0"/>
          <w:sz w:val="18"/>
          <w:szCs w:val="18"/>
          <w:lang w:eastAsia="it-IT"/>
        </w:rPr>
        <w:t xml:space="preserve"> C.D.A.</w:t>
      </w:r>
      <w:r w:rsidRPr="00747BF1">
        <w:rPr>
          <w:rFonts w:ascii="Trebuchet MS" w:hAnsi="Trebuchet MS"/>
          <w:kern w:val="0"/>
          <w:sz w:val="18"/>
          <w:szCs w:val="18"/>
          <w:lang w:eastAsia="it-IT"/>
        </w:rPr>
        <w:t xml:space="preserve"> n. 3</w:t>
      </w:r>
      <w:r w:rsidR="00747BF1" w:rsidRPr="00747BF1">
        <w:rPr>
          <w:rFonts w:ascii="Trebuchet MS" w:hAnsi="Trebuchet MS"/>
          <w:kern w:val="0"/>
          <w:sz w:val="18"/>
          <w:szCs w:val="18"/>
          <w:lang w:eastAsia="it-IT"/>
        </w:rPr>
        <w:t>5</w:t>
      </w:r>
      <w:r w:rsidRPr="00747BF1">
        <w:rPr>
          <w:rFonts w:ascii="Trebuchet MS" w:hAnsi="Trebuchet MS"/>
          <w:kern w:val="0"/>
          <w:sz w:val="18"/>
          <w:szCs w:val="18"/>
          <w:lang w:eastAsia="it-IT"/>
        </w:rPr>
        <w:t xml:space="preserve"> del 26 ottobre 2021</w:t>
      </w:r>
      <w:r w:rsidR="0054715F">
        <w:rPr>
          <w:rFonts w:ascii="Trebuchet MS" w:hAnsi="Trebuchet MS"/>
          <w:kern w:val="0"/>
          <w:sz w:val="18"/>
          <w:szCs w:val="18"/>
          <w:lang w:eastAsia="it-IT"/>
        </w:rPr>
        <w:t xml:space="preserve"> approvato con D.D.S. 2927 del 01/12/2021</w:t>
      </w:r>
    </w:p>
    <w:p w14:paraId="1E384E9A" w14:textId="7C5294F0" w:rsidR="006E43EF" w:rsidRDefault="00FF1A60" w:rsidP="00F27F58">
      <w:pPr>
        <w:pStyle w:val="Standard"/>
        <w:spacing w:line="240" w:lineRule="auto"/>
        <w:jc w:val="both"/>
        <w:rPr>
          <w:rFonts w:ascii="Trebuchet MS" w:hAnsi="Trebuchet MS"/>
          <w:kern w:val="0"/>
          <w:sz w:val="18"/>
          <w:szCs w:val="18"/>
          <w:lang w:eastAsia="it-IT"/>
        </w:rPr>
      </w:pPr>
      <w:r w:rsidRPr="0054715F">
        <w:rPr>
          <w:rFonts w:ascii="Trebuchet MS" w:hAnsi="Trebuchet MS"/>
          <w:kern w:val="0"/>
          <w:sz w:val="18"/>
          <w:szCs w:val="18"/>
          <w:lang w:eastAsia="it-IT"/>
        </w:rPr>
        <w:t xml:space="preserve">- </w:t>
      </w:r>
      <w:r w:rsidR="0054715F" w:rsidRPr="0054715F">
        <w:rPr>
          <w:rFonts w:ascii="Trebuchet MS" w:hAnsi="Trebuchet MS"/>
          <w:kern w:val="0"/>
          <w:sz w:val="18"/>
          <w:szCs w:val="18"/>
          <w:lang w:eastAsia="it-IT"/>
        </w:rPr>
        <w:t>decreto Presidenziale n. 9 del 13/12/2021 approvato con D.D.S. 3132 del 15/12/2021.</w:t>
      </w:r>
    </w:p>
    <w:p w14:paraId="0EFB48D6" w14:textId="77777777" w:rsidR="006E43EF" w:rsidRDefault="006E43EF" w:rsidP="006E43EF">
      <w:pPr>
        <w:pStyle w:val="Standard"/>
        <w:spacing w:line="240" w:lineRule="auto"/>
        <w:rPr>
          <w:rFonts w:ascii="Trebuchet MS" w:hAnsi="Trebuchet MS"/>
          <w:b/>
          <w:bCs/>
          <w:color w:val="FF0000"/>
          <w:sz w:val="18"/>
          <w:szCs w:val="18"/>
        </w:rPr>
      </w:pPr>
    </w:p>
    <w:p w14:paraId="64F6B77A" w14:textId="77777777" w:rsidR="00220273" w:rsidRDefault="00445A10" w:rsidP="00445A10">
      <w:pPr>
        <w:ind w:firstLine="0"/>
        <w:jc w:val="center"/>
        <w:rPr>
          <w:rFonts w:ascii="Trebuchet MS" w:hAnsi="Trebuchet MS"/>
          <w:sz w:val="18"/>
          <w:szCs w:val="18"/>
        </w:rPr>
      </w:pPr>
      <w:r w:rsidRPr="00445A10">
        <w:rPr>
          <w:noProof/>
        </w:rPr>
        <w:drawing>
          <wp:inline distT="0" distB="0" distL="0" distR="0" wp14:anchorId="003132CD" wp14:editId="3348D4DD">
            <wp:extent cx="6097979" cy="160906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32" cy="163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925A" w14:textId="43D8ADDF" w:rsidR="008945C0" w:rsidRPr="00FF1A60" w:rsidRDefault="008945C0" w:rsidP="00F27F58">
      <w:pPr>
        <w:ind w:firstLine="0"/>
        <w:rPr>
          <w:rFonts w:ascii="Trebuchet MS" w:hAnsi="Trebuchet MS"/>
          <w:sz w:val="18"/>
          <w:szCs w:val="18"/>
        </w:rPr>
      </w:pPr>
      <w:r w:rsidRPr="00FF1A60">
        <w:rPr>
          <w:rFonts w:ascii="Trebuchet MS" w:hAnsi="Trebuchet MS"/>
          <w:sz w:val="18"/>
          <w:szCs w:val="18"/>
        </w:rPr>
        <w:t xml:space="preserve">Si </w:t>
      </w:r>
      <w:r w:rsidR="00FF1A60">
        <w:rPr>
          <w:rFonts w:ascii="Trebuchet MS" w:hAnsi="Trebuchet MS"/>
          <w:sz w:val="18"/>
          <w:szCs w:val="18"/>
        </w:rPr>
        <w:t>sottolinea</w:t>
      </w:r>
      <w:r w:rsidRPr="00FF1A60">
        <w:rPr>
          <w:rFonts w:ascii="Trebuchet MS" w:hAnsi="Trebuchet MS"/>
          <w:sz w:val="18"/>
          <w:szCs w:val="18"/>
        </w:rPr>
        <w:t xml:space="preserve"> anche sulle</w:t>
      </w:r>
      <w:r w:rsidR="00DA14F1">
        <w:rPr>
          <w:rFonts w:ascii="Trebuchet MS" w:hAnsi="Trebuchet MS"/>
          <w:sz w:val="18"/>
          <w:szCs w:val="18"/>
        </w:rPr>
        <w:t xml:space="preserve"> previsioni di competenza relative alle </w:t>
      </w:r>
      <w:r w:rsidRPr="00FF1A60">
        <w:rPr>
          <w:rFonts w:ascii="Trebuchet MS" w:hAnsi="Trebuchet MS"/>
          <w:sz w:val="18"/>
          <w:szCs w:val="18"/>
        </w:rPr>
        <w:t>spes</w:t>
      </w:r>
      <w:r w:rsidR="00DA14F1">
        <w:rPr>
          <w:rFonts w:ascii="Trebuchet MS" w:hAnsi="Trebuchet MS"/>
          <w:sz w:val="18"/>
          <w:szCs w:val="18"/>
        </w:rPr>
        <w:t>e</w:t>
      </w:r>
      <w:r w:rsidRPr="00FF1A60">
        <w:rPr>
          <w:rFonts w:ascii="Trebuchet MS" w:hAnsi="Trebuchet MS"/>
          <w:sz w:val="18"/>
          <w:szCs w:val="18"/>
        </w:rPr>
        <w:t xml:space="preserve"> la stessa contrazione rispetto alle previsioni definitive 2021 e l'aumento di</w:t>
      </w:r>
      <w:r w:rsidR="006B5D53">
        <w:rPr>
          <w:rFonts w:ascii="Trebuchet MS" w:hAnsi="Trebuchet MS"/>
          <w:sz w:val="18"/>
          <w:szCs w:val="18"/>
        </w:rPr>
        <w:t xml:space="preserve"> </w:t>
      </w:r>
      <w:r w:rsidRPr="00FF1A60">
        <w:rPr>
          <w:rFonts w:ascii="Trebuchet MS" w:hAnsi="Trebuchet MS"/>
          <w:sz w:val="18"/>
          <w:szCs w:val="18"/>
        </w:rPr>
        <w:t>€ 1.057.927,49</w:t>
      </w:r>
      <w:r w:rsidR="00B001D3">
        <w:rPr>
          <w:rFonts w:ascii="Trebuchet MS" w:hAnsi="Trebuchet MS"/>
          <w:sz w:val="18"/>
          <w:szCs w:val="18"/>
        </w:rPr>
        <w:t xml:space="preserve"> </w:t>
      </w:r>
      <w:r w:rsidRPr="00FF1A60">
        <w:rPr>
          <w:rFonts w:ascii="Trebuchet MS" w:hAnsi="Trebuchet MS"/>
          <w:sz w:val="18"/>
          <w:szCs w:val="18"/>
        </w:rPr>
        <w:t xml:space="preserve">derivanti da variazioni di bilancio nel corso dell'anno 2021 riconducibili alle </w:t>
      </w:r>
      <w:r w:rsidR="00DA14F1">
        <w:rPr>
          <w:rFonts w:ascii="Trebuchet MS" w:hAnsi="Trebuchet MS"/>
          <w:sz w:val="18"/>
          <w:szCs w:val="18"/>
        </w:rPr>
        <w:t>delibere</w:t>
      </w:r>
      <w:r w:rsidRPr="00FF1A60">
        <w:rPr>
          <w:rFonts w:ascii="Trebuchet MS" w:hAnsi="Trebuchet MS"/>
          <w:sz w:val="18"/>
          <w:szCs w:val="18"/>
        </w:rPr>
        <w:t xml:space="preserve"> sopra evidenziate.</w:t>
      </w:r>
    </w:p>
    <w:p w14:paraId="55F7862C" w14:textId="77777777" w:rsidR="008945C0" w:rsidRPr="00FF1A60" w:rsidRDefault="008945C0" w:rsidP="00F27F58">
      <w:pPr>
        <w:ind w:firstLine="0"/>
        <w:rPr>
          <w:rFonts w:ascii="Trebuchet MS" w:hAnsi="Trebuchet MS"/>
          <w:sz w:val="18"/>
          <w:szCs w:val="18"/>
        </w:rPr>
      </w:pPr>
    </w:p>
    <w:p w14:paraId="67E9A8C5" w14:textId="6E46FC47" w:rsidR="00445A10" w:rsidRPr="00FF1A60" w:rsidRDefault="00DA14F1" w:rsidP="00F27F58">
      <w:pPr>
        <w:ind w:firstLine="0"/>
        <w:rPr>
          <w:rFonts w:ascii="Trebuchet MS" w:hAnsi="Trebuchet MS"/>
          <w:sz w:val="18"/>
          <w:szCs w:val="18"/>
        </w:rPr>
      </w:pPr>
      <w:r w:rsidRPr="006B5D53">
        <w:rPr>
          <w:rFonts w:ascii="Trebuchet MS" w:hAnsi="Trebuchet MS"/>
          <w:sz w:val="18"/>
          <w:szCs w:val="18"/>
        </w:rPr>
        <w:t xml:space="preserve">Alla luce dei prospetti sopra esaminati </w:t>
      </w:r>
      <w:r w:rsidR="00A33B15" w:rsidRPr="006B5D53">
        <w:rPr>
          <w:rFonts w:ascii="Trebuchet MS" w:hAnsi="Trebuchet MS"/>
          <w:sz w:val="18"/>
          <w:szCs w:val="18"/>
        </w:rPr>
        <w:t>l</w:t>
      </w:r>
      <w:r w:rsidR="00190F7A" w:rsidRPr="006B5D53">
        <w:rPr>
          <w:rFonts w:ascii="Trebuchet MS" w:hAnsi="Trebuchet MS"/>
          <w:sz w:val="18"/>
          <w:szCs w:val="18"/>
        </w:rPr>
        <w:t>e previsioni di competenza rispettano il principio generale n. 16 e rappresentano le entrate e le spese che si prevede saranno esigibili in ciascuno degli esercizi considerati anche se l’obbligazione giuridica è sorta in esercizi precedenti.</w:t>
      </w:r>
    </w:p>
    <w:p w14:paraId="75E2F102" w14:textId="77777777" w:rsidR="00A33B15" w:rsidRDefault="00A33B15" w:rsidP="00F27F58">
      <w:pPr>
        <w:ind w:firstLine="0"/>
        <w:rPr>
          <w:rFonts w:ascii="Trebuchet MS" w:hAnsi="Trebuchet MS"/>
          <w:sz w:val="18"/>
          <w:szCs w:val="18"/>
        </w:rPr>
      </w:pPr>
    </w:p>
    <w:p w14:paraId="427A7720" w14:textId="34492A27" w:rsidR="00DE192C" w:rsidRPr="00FF1A60" w:rsidRDefault="00DE192C" w:rsidP="00F27F58">
      <w:pPr>
        <w:ind w:firstLine="0"/>
        <w:rPr>
          <w:rFonts w:ascii="Trebuchet MS" w:hAnsi="Trebuchet MS"/>
          <w:sz w:val="18"/>
          <w:szCs w:val="18"/>
        </w:rPr>
      </w:pPr>
      <w:r w:rsidRPr="00FF1A60">
        <w:rPr>
          <w:rFonts w:ascii="Trebuchet MS" w:hAnsi="Trebuchet MS"/>
          <w:sz w:val="18"/>
          <w:szCs w:val="18"/>
        </w:rPr>
        <w:t>Si rileva il pareggio di bilancio in conto competenza anno 2022 per € 3.061.865,60, per l'anno 2023 € 3.041.098,37 e per l'anno 2024 € 3.041.098,37.</w:t>
      </w:r>
    </w:p>
    <w:p w14:paraId="01D88633" w14:textId="6AA0F8AA" w:rsidR="00DE192C" w:rsidRDefault="00DE192C" w:rsidP="00F27F58">
      <w:pPr>
        <w:ind w:firstLine="0"/>
        <w:rPr>
          <w:rFonts w:ascii="Trebuchet MS" w:hAnsi="Trebuchet MS"/>
          <w:color w:val="FF0000"/>
          <w:sz w:val="18"/>
          <w:szCs w:val="18"/>
        </w:rPr>
      </w:pPr>
    </w:p>
    <w:p w14:paraId="4C8BDBDD" w14:textId="77777777" w:rsidR="00E90907" w:rsidRPr="00FB55BF" w:rsidRDefault="00E90907" w:rsidP="00E90907">
      <w:pPr>
        <w:spacing w:after="0" w:line="360" w:lineRule="auto"/>
        <w:ind w:firstLine="0"/>
        <w:rPr>
          <w:rFonts w:ascii="Trebuchet MS" w:hAnsi="Trebuchet MS"/>
          <w:b/>
          <w:smallCaps/>
          <w:szCs w:val="22"/>
        </w:rPr>
      </w:pPr>
      <w:r w:rsidRPr="00FB55BF">
        <w:rPr>
          <w:rFonts w:ascii="Trebuchet MS" w:hAnsi="Trebuchet MS"/>
          <w:b/>
          <w:smallCaps/>
          <w:szCs w:val="22"/>
        </w:rPr>
        <w:t>PARTITE DI GIRO</w:t>
      </w:r>
    </w:p>
    <w:p w14:paraId="2C7E7CC9" w14:textId="654A67FC" w:rsidR="00E90907" w:rsidRPr="00A63070" w:rsidRDefault="00E90907" w:rsidP="00E90907">
      <w:pPr>
        <w:ind w:firstLine="0"/>
        <w:rPr>
          <w:rFonts w:ascii="Trebuchet MS" w:hAnsi="Trebuchet MS"/>
          <w:b/>
          <w:sz w:val="18"/>
          <w:szCs w:val="18"/>
        </w:rPr>
      </w:pPr>
      <w:r w:rsidRPr="00714001">
        <w:rPr>
          <w:rFonts w:ascii="Trebuchet MS" w:hAnsi="Trebuchet MS"/>
          <w:sz w:val="18"/>
          <w:szCs w:val="18"/>
        </w:rPr>
        <w:t>Le partite di giro, che risultano in pareggio comprendono le entrate ed uscite che l’</w:t>
      </w:r>
      <w:r w:rsidR="00714001" w:rsidRPr="00714001">
        <w:rPr>
          <w:rFonts w:ascii="Trebuchet MS" w:hAnsi="Trebuchet MS"/>
          <w:sz w:val="18"/>
          <w:szCs w:val="18"/>
        </w:rPr>
        <w:t>E</w:t>
      </w:r>
      <w:r w:rsidRPr="00714001">
        <w:rPr>
          <w:rFonts w:ascii="Trebuchet MS" w:hAnsi="Trebuchet MS"/>
          <w:sz w:val="18"/>
          <w:szCs w:val="18"/>
        </w:rPr>
        <w:t>nte effettua in qualità di sostituto d’imposta, ovvero per conto di terzi, le quali costituiscono al tempo stesso un debito ed un credito per l’Ente</w:t>
      </w:r>
      <w:r w:rsidR="00714001">
        <w:rPr>
          <w:rFonts w:ascii="Trebuchet MS" w:hAnsi="Trebuchet MS"/>
          <w:sz w:val="18"/>
          <w:szCs w:val="18"/>
        </w:rPr>
        <w:t>.</w:t>
      </w:r>
    </w:p>
    <w:p w14:paraId="0B85FA26" w14:textId="77777777" w:rsidR="00E90907" w:rsidRDefault="00E90907" w:rsidP="00E90907">
      <w:pPr>
        <w:spacing w:after="0"/>
        <w:ind w:firstLine="0"/>
        <w:rPr>
          <w:rFonts w:ascii="Trebuchet MS" w:hAnsi="Trebuchet MS"/>
          <w:b/>
          <w:szCs w:val="22"/>
        </w:rPr>
      </w:pPr>
    </w:p>
    <w:p w14:paraId="2DDA3017" w14:textId="77777777" w:rsidR="00E90907" w:rsidRDefault="00E90907" w:rsidP="00E90907">
      <w:pPr>
        <w:spacing w:after="0"/>
        <w:ind w:firstLine="0"/>
        <w:rPr>
          <w:rFonts w:ascii="Trebuchet MS" w:hAnsi="Trebuchet MS"/>
          <w:b/>
          <w:szCs w:val="22"/>
        </w:rPr>
      </w:pPr>
      <w:r w:rsidRPr="00DB606D">
        <w:rPr>
          <w:rFonts w:ascii="Trebuchet MS" w:hAnsi="Trebuchet MS"/>
          <w:b/>
          <w:szCs w:val="22"/>
        </w:rPr>
        <w:t>FONDO PLURIENNALE VINCOLATO (FPV)</w:t>
      </w:r>
    </w:p>
    <w:p w14:paraId="4590EBA4" w14:textId="7B4DC1DF" w:rsidR="00E90907" w:rsidRDefault="00473141" w:rsidP="00E90907">
      <w:pPr>
        <w:spacing w:after="0"/>
        <w:ind w:firstLine="0"/>
        <w:rPr>
          <w:rFonts w:ascii="Trebuchet MS" w:hAnsi="Trebuchet MS"/>
          <w:color w:val="FF0000"/>
          <w:sz w:val="18"/>
          <w:szCs w:val="18"/>
          <w:highlight w:val="yellow"/>
        </w:rPr>
      </w:pPr>
      <w:r>
        <w:rPr>
          <w:rFonts w:ascii="Trebuchet MS" w:hAnsi="Trebuchet MS"/>
          <w:sz w:val="18"/>
          <w:szCs w:val="18"/>
        </w:rPr>
        <w:t>Il Fondo pluriennale vincolato, disciplinato dal principio contabile applicato alla competenza finanziaria, è un saldo finanziario, costituito da risorse già accertate destinate al finanziamento di obbligazioni passive dell’ente già impegnate, ma esigibili in esercizi successivi a quello in cui è accertata l’entrata.</w:t>
      </w:r>
    </w:p>
    <w:p w14:paraId="3D4A66E7" w14:textId="16811F49" w:rsidR="00E90907" w:rsidRPr="00455937" w:rsidRDefault="000176A5" w:rsidP="00E90907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 w:rsidRPr="000176A5">
        <w:rPr>
          <w:rFonts w:ascii="Trebuchet MS" w:hAnsi="Trebuchet MS"/>
          <w:color w:val="000000" w:themeColor="text1"/>
          <w:sz w:val="18"/>
          <w:szCs w:val="18"/>
        </w:rPr>
        <w:t>Dalle comunicazioni ricevute dall’Ente e</w:t>
      </w:r>
      <w:r w:rsidRPr="000176A5">
        <w:rPr>
          <w:rFonts w:ascii="Trebuchet MS" w:hAnsi="Trebuchet MS"/>
          <w:color w:val="FF0000"/>
          <w:sz w:val="18"/>
          <w:szCs w:val="18"/>
        </w:rPr>
        <w:t xml:space="preserve"> </w:t>
      </w:r>
      <w:r w:rsidRPr="00455937">
        <w:rPr>
          <w:rFonts w:ascii="Trebuchet MS" w:hAnsi="Trebuchet MS"/>
          <w:color w:val="000000" w:themeColor="text1"/>
          <w:sz w:val="18"/>
          <w:szCs w:val="18"/>
        </w:rPr>
        <w:t>d</w:t>
      </w:r>
      <w:r w:rsidR="00E90907" w:rsidRPr="00455937">
        <w:rPr>
          <w:rFonts w:ascii="Trebuchet MS" w:hAnsi="Trebuchet MS"/>
          <w:color w:val="000000" w:themeColor="text1"/>
          <w:sz w:val="18"/>
          <w:szCs w:val="18"/>
        </w:rPr>
        <w:t>all’esame degli allegati obbligatori, nello specifico l’allegato H, il Collegio dei Revisori prende atto che l’Ente non ha accantonato alcuna somma al Fondo Pluriennale Vincolato.</w:t>
      </w:r>
    </w:p>
    <w:p w14:paraId="258B1881" w14:textId="0B68CCDD" w:rsidR="00F0772A" w:rsidRPr="00F55EF7" w:rsidRDefault="00F55EF7" w:rsidP="00272D7B">
      <w:pPr>
        <w:ind w:firstLine="0"/>
        <w:rPr>
          <w:rFonts w:ascii="Trebuchet MS" w:hAnsi="Trebuchet MS"/>
          <w:color w:val="000000" w:themeColor="text1"/>
          <w:sz w:val="18"/>
          <w:szCs w:val="18"/>
        </w:rPr>
      </w:pPr>
      <w:r w:rsidRPr="00F55EF7">
        <w:rPr>
          <w:rFonts w:ascii="Trebuchet MS" w:hAnsi="Trebuchet MS"/>
          <w:color w:val="000000" w:themeColor="text1"/>
          <w:sz w:val="18"/>
          <w:szCs w:val="18"/>
        </w:rPr>
        <w:t>Nulla è specificato in nota integrativa sulle motivazioni del mancato accantonamento</w:t>
      </w:r>
      <w:r w:rsidR="00804997">
        <w:rPr>
          <w:rFonts w:ascii="Trebuchet MS" w:hAnsi="Trebuchet MS"/>
          <w:color w:val="000000" w:themeColor="text1"/>
          <w:sz w:val="18"/>
          <w:szCs w:val="18"/>
        </w:rPr>
        <w:t>.</w:t>
      </w:r>
    </w:p>
    <w:p w14:paraId="4A929300" w14:textId="77777777" w:rsidR="00F0772A" w:rsidRDefault="00F0772A" w:rsidP="00272D7B">
      <w:pPr>
        <w:ind w:firstLine="0"/>
        <w:rPr>
          <w:rFonts w:ascii="Trebuchet MS" w:hAnsi="Trebuchet MS"/>
          <w:color w:val="FF0000"/>
          <w:sz w:val="18"/>
          <w:szCs w:val="18"/>
          <w:highlight w:val="yellow"/>
        </w:rPr>
      </w:pPr>
    </w:p>
    <w:p w14:paraId="6A5A7C8A" w14:textId="0C6A3539" w:rsidR="00E90907" w:rsidRDefault="00E90907" w:rsidP="00E90907">
      <w:pPr>
        <w:spacing w:after="0"/>
        <w:ind w:firstLine="0"/>
        <w:rPr>
          <w:rFonts w:ascii="Trebuchet MS" w:hAnsi="Trebuchet MS"/>
          <w:b/>
          <w:color w:val="FF0000"/>
          <w:szCs w:val="22"/>
        </w:rPr>
      </w:pPr>
    </w:p>
    <w:p w14:paraId="61888DCB" w14:textId="77777777" w:rsidR="00F55EF7" w:rsidRPr="00FC43D3" w:rsidRDefault="00F55EF7" w:rsidP="00E90907">
      <w:pPr>
        <w:spacing w:after="0"/>
        <w:ind w:firstLine="0"/>
        <w:rPr>
          <w:rFonts w:ascii="Trebuchet MS" w:hAnsi="Trebuchet MS"/>
          <w:b/>
          <w:color w:val="FF0000"/>
          <w:szCs w:val="22"/>
        </w:rPr>
      </w:pPr>
    </w:p>
    <w:p w14:paraId="3881541E" w14:textId="6BFFCE23" w:rsidR="008C055E" w:rsidRPr="008C055E" w:rsidRDefault="00FA199F" w:rsidP="008C055E">
      <w:pPr>
        <w:ind w:firstLine="0"/>
        <w:jc w:val="center"/>
        <w:rPr>
          <w:rFonts w:ascii="Trebuchet MS" w:hAnsi="Trebuchet MS"/>
          <w:b/>
          <w:bCs/>
          <w:color w:val="FF0000"/>
          <w:sz w:val="18"/>
          <w:szCs w:val="18"/>
        </w:rPr>
      </w:pPr>
      <w:r w:rsidRPr="00FA199F">
        <w:rPr>
          <w:rFonts w:ascii="Trebuchet MS" w:hAnsi="Trebuchet MS"/>
          <w:b/>
          <w:bCs/>
          <w:sz w:val="18"/>
          <w:szCs w:val="18"/>
        </w:rPr>
        <w:t>PREVISIONI DI CASSA</w:t>
      </w:r>
    </w:p>
    <w:p w14:paraId="5484E4D4" w14:textId="77777777" w:rsidR="00445A10" w:rsidRDefault="00445A10" w:rsidP="00445A10">
      <w:pPr>
        <w:ind w:firstLine="0"/>
        <w:jc w:val="center"/>
        <w:rPr>
          <w:rFonts w:ascii="Trebuchet MS" w:hAnsi="Trebuchet MS"/>
          <w:sz w:val="18"/>
          <w:szCs w:val="18"/>
        </w:rPr>
      </w:pPr>
      <w:r w:rsidRPr="00445A10">
        <w:rPr>
          <w:noProof/>
        </w:rPr>
        <w:drawing>
          <wp:inline distT="0" distB="0" distL="0" distR="0" wp14:anchorId="2F3301AE" wp14:editId="52D4451B">
            <wp:extent cx="5076825" cy="49936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9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6C3AD" w14:textId="4E7731FF" w:rsidR="00147233" w:rsidRDefault="00FC43D3" w:rsidP="003A563C">
      <w:pPr>
        <w:spacing w:line="360" w:lineRule="auto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Nell’esercizio finanziario 2021 le entrate pari ad </w:t>
      </w:r>
      <w:r w:rsidR="00B64593">
        <w:rPr>
          <w:rFonts w:ascii="Trebuchet MS" w:hAnsi="Trebuchet MS"/>
          <w:sz w:val="18"/>
          <w:szCs w:val="18"/>
        </w:rPr>
        <w:t>€ 3.699.395,08 risultano inferiori alle spese pari ad € 5.014.128,32. Tuttavia il saldo di cassa positivo è assicurato dal fondo cassa all’01/01/2021 pari ad €</w:t>
      </w:r>
      <w:r w:rsidR="00804997">
        <w:rPr>
          <w:rFonts w:ascii="Trebuchet MS" w:hAnsi="Trebuchet MS"/>
          <w:sz w:val="18"/>
          <w:szCs w:val="18"/>
        </w:rPr>
        <w:t xml:space="preserve"> </w:t>
      </w:r>
      <w:r w:rsidR="00B64593">
        <w:rPr>
          <w:rFonts w:ascii="Trebuchet MS" w:hAnsi="Trebuchet MS"/>
          <w:sz w:val="18"/>
          <w:szCs w:val="18"/>
        </w:rPr>
        <w:t>8.888.519,99</w:t>
      </w:r>
      <w:r w:rsidR="003A563C">
        <w:rPr>
          <w:rFonts w:ascii="Trebuchet MS" w:hAnsi="Trebuchet MS"/>
          <w:sz w:val="18"/>
          <w:szCs w:val="18"/>
        </w:rPr>
        <w:t xml:space="preserve"> come dimostrato dal prospetto riepilogativo dei dati di cassa di seguito riportato:</w:t>
      </w:r>
    </w:p>
    <w:p w14:paraId="1FF2E8C2" w14:textId="77777777" w:rsidR="00CB4B91" w:rsidRPr="00A42154" w:rsidRDefault="00CB4B91" w:rsidP="00CB4B91">
      <w:pPr>
        <w:spacing w:after="0" w:line="360" w:lineRule="auto"/>
        <w:ind w:firstLine="0"/>
        <w:rPr>
          <w:rFonts w:ascii="Trebuchet MS" w:hAnsi="Trebuchet MS"/>
          <w:b/>
          <w:sz w:val="18"/>
          <w:szCs w:val="18"/>
        </w:rPr>
      </w:pPr>
    </w:p>
    <w:p w14:paraId="44D82E52" w14:textId="77777777" w:rsidR="00CB4B91" w:rsidRDefault="00CB4B91" w:rsidP="00CB4B91">
      <w:pPr>
        <w:spacing w:after="0" w:line="360" w:lineRule="auto"/>
        <w:ind w:firstLine="0"/>
        <w:rPr>
          <w:rFonts w:ascii="Trebuchet MS" w:hAnsi="Trebuchet MS"/>
          <w:b/>
          <w:sz w:val="18"/>
          <w:szCs w:val="18"/>
        </w:rPr>
      </w:pPr>
      <w:r w:rsidRPr="00A42154">
        <w:rPr>
          <w:rFonts w:ascii="Trebuchet MS" w:hAnsi="Trebuchet MS"/>
          <w:b/>
          <w:sz w:val="18"/>
          <w:szCs w:val="18"/>
        </w:rPr>
        <w:t>Situazione equilibrio dati di cassa</w:t>
      </w:r>
    </w:p>
    <w:tbl>
      <w:tblPr>
        <w:tblW w:w="15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1855"/>
      </w:tblGrid>
      <w:tr w:rsidR="00CB4B91" w:rsidRPr="00A42154" w14:paraId="0A404E50" w14:textId="77777777" w:rsidTr="00C41256">
        <w:trPr>
          <w:trHeight w:val="293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29A35638" w14:textId="506B8B2D" w:rsidR="00CB4B91" w:rsidRPr="00A42154" w:rsidRDefault="00CB4B91" w:rsidP="00F12C2E">
            <w:pPr>
              <w:spacing w:after="0"/>
              <w:ind w:firstLine="0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Prospetto riepilogativo dati di cassa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A2F78F5" w14:textId="77777777" w:rsidR="00CB4B91" w:rsidRPr="00A42154" w:rsidRDefault="00CB4B91" w:rsidP="00312F06">
            <w:pPr>
              <w:spacing w:after="0"/>
              <w:ind w:firstLine="0"/>
              <w:jc w:val="center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b/>
                <w:color w:val="000000"/>
                <w:sz w:val="18"/>
                <w:szCs w:val="18"/>
              </w:rPr>
              <w:t>Anno</w:t>
            </w:r>
            <w:r w:rsidR="00312F06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 2022</w:t>
            </w:r>
          </w:p>
        </w:tc>
      </w:tr>
      <w:tr w:rsidR="00CB4B91" w:rsidRPr="00A42154" w14:paraId="52B1D718" w14:textId="77777777" w:rsidTr="00C41256">
        <w:trPr>
          <w:trHeight w:val="172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78D" w14:textId="77777777" w:rsidR="00CB4B91" w:rsidRPr="00A42154" w:rsidRDefault="00CB4B91" w:rsidP="00F12C2E">
            <w:pPr>
              <w:spacing w:after="0"/>
              <w:ind w:firstLine="0"/>
              <w:rPr>
                <w:rFonts w:ascii="Trebuchet MS" w:hAnsi="Trebuchet MS"/>
                <w:b/>
                <w:i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b/>
                <w:i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C7AB" w14:textId="77777777" w:rsidR="00CB4B91" w:rsidRPr="00A42154" w:rsidRDefault="00CB4B91" w:rsidP="00F12C2E">
            <w:pPr>
              <w:spacing w:after="0"/>
              <w:ind w:firstLine="0"/>
              <w:jc w:val="center"/>
              <w:rPr>
                <w:rFonts w:ascii="Trebuchet MS" w:hAnsi="Trebuchet MS"/>
                <w:b/>
                <w:i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b/>
                <w:i/>
                <w:color w:val="000000"/>
                <w:sz w:val="18"/>
                <w:szCs w:val="18"/>
              </w:rPr>
              <w:t>Importo</w:t>
            </w:r>
          </w:p>
        </w:tc>
      </w:tr>
      <w:tr w:rsidR="00CB4B91" w:rsidRPr="00A42154" w14:paraId="526C1579" w14:textId="77777777" w:rsidTr="00C41256">
        <w:trPr>
          <w:trHeight w:val="224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83BF" w14:textId="48C720C7" w:rsidR="00CB4B91" w:rsidRPr="00A42154" w:rsidRDefault="00CB4B91" w:rsidP="00F12C2E">
            <w:pPr>
              <w:spacing w:after="0"/>
              <w:ind w:firstLine="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color w:val="000000"/>
                <w:sz w:val="18"/>
                <w:szCs w:val="18"/>
              </w:rPr>
              <w:t xml:space="preserve">Saldo cassa iniziale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E991" w14:textId="77777777" w:rsidR="00CB4B91" w:rsidRPr="00A42154" w:rsidRDefault="00312F06" w:rsidP="00F12C2E">
            <w:pPr>
              <w:spacing w:after="0"/>
              <w:ind w:firstLine="0"/>
              <w:jc w:val="right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8.888.519,99</w:t>
            </w:r>
          </w:p>
        </w:tc>
      </w:tr>
      <w:tr w:rsidR="00CB4B91" w:rsidRPr="00A42154" w14:paraId="681541F1" w14:textId="77777777" w:rsidTr="00C41256">
        <w:trPr>
          <w:trHeight w:val="224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ACD6" w14:textId="77777777" w:rsidR="00CB4B91" w:rsidRPr="00A42154" w:rsidRDefault="00CB4B91" w:rsidP="00F12C2E">
            <w:pPr>
              <w:spacing w:after="0"/>
              <w:ind w:firstLine="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color w:val="000000"/>
                <w:sz w:val="18"/>
                <w:szCs w:val="18"/>
              </w:rPr>
              <w:t>Riscossioni previste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4B1C" w14:textId="77777777" w:rsidR="00CB4B91" w:rsidRPr="00A42154" w:rsidRDefault="00E60C29" w:rsidP="000C4024">
            <w:pPr>
              <w:spacing w:after="0"/>
              <w:ind w:firstLine="0"/>
              <w:jc w:val="right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3.699.395,08</w:t>
            </w:r>
          </w:p>
        </w:tc>
      </w:tr>
      <w:tr w:rsidR="00CB4B91" w:rsidRPr="00A42154" w14:paraId="6999221F" w14:textId="77777777" w:rsidTr="00C41256">
        <w:trPr>
          <w:trHeight w:val="233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36A" w14:textId="77777777" w:rsidR="00CB4B91" w:rsidRPr="00A42154" w:rsidRDefault="00CB4B91" w:rsidP="00F12C2E">
            <w:pPr>
              <w:spacing w:after="0"/>
              <w:ind w:firstLine="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color w:val="000000"/>
                <w:sz w:val="18"/>
                <w:szCs w:val="18"/>
              </w:rPr>
              <w:t>Pagamenti previsti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9C76" w14:textId="77777777" w:rsidR="00CB4B91" w:rsidRPr="00A42154" w:rsidRDefault="00E60C29" w:rsidP="00F12C2E">
            <w:pPr>
              <w:spacing w:after="0"/>
              <w:ind w:firstLine="0"/>
              <w:jc w:val="right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5.014.128,32</w:t>
            </w:r>
          </w:p>
        </w:tc>
      </w:tr>
      <w:tr w:rsidR="00CB4B91" w:rsidRPr="00A42154" w14:paraId="5299F8D9" w14:textId="77777777" w:rsidTr="00C41256">
        <w:trPr>
          <w:trHeight w:val="302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14:paraId="32BEF580" w14:textId="77777777" w:rsidR="00CB4B91" w:rsidRPr="00A42154" w:rsidRDefault="00CB4B91" w:rsidP="00F12C2E">
            <w:pPr>
              <w:spacing w:after="0"/>
              <w:ind w:firstLine="0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A42154">
              <w:rPr>
                <w:rFonts w:ascii="Trebuchet MS" w:hAnsi="Trebuchet MS"/>
                <w:b/>
                <w:color w:val="000000"/>
                <w:sz w:val="18"/>
                <w:szCs w:val="18"/>
              </w:rPr>
              <w:t>Saldo finale di cassa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2DCFB1A" w14:textId="77777777" w:rsidR="00CB4B91" w:rsidRPr="00A42154" w:rsidRDefault="00E60C29" w:rsidP="00F12C2E">
            <w:pPr>
              <w:spacing w:after="0"/>
              <w:ind w:firstLine="0"/>
              <w:jc w:val="right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7.573.786,75</w:t>
            </w:r>
          </w:p>
        </w:tc>
      </w:tr>
    </w:tbl>
    <w:p w14:paraId="77EC85F4" w14:textId="77777777" w:rsidR="00CB4B91" w:rsidRDefault="00CB4B91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56492391" w14:textId="50E6EF41" w:rsidR="008945C0" w:rsidRPr="00A33B15" w:rsidRDefault="00CB4B91" w:rsidP="008945C0">
      <w:pPr>
        <w:pStyle w:val="Standard"/>
        <w:rPr>
          <w:rFonts w:ascii="Trebuchet MS" w:hAnsi="Trebuchet MS"/>
          <w:kern w:val="0"/>
          <w:sz w:val="18"/>
          <w:szCs w:val="18"/>
          <w:lang w:eastAsia="it-IT"/>
        </w:rPr>
      </w:pPr>
      <w:r>
        <w:rPr>
          <w:rFonts w:ascii="Trebuchet MS" w:hAnsi="Trebuchet MS"/>
          <w:sz w:val="18"/>
          <w:szCs w:val="18"/>
        </w:rPr>
        <w:br w:type="page"/>
      </w:r>
      <w:r w:rsidR="008945C0" w:rsidRPr="00A33B15">
        <w:rPr>
          <w:rFonts w:ascii="Trebuchet MS" w:hAnsi="Trebuchet MS"/>
          <w:kern w:val="0"/>
          <w:sz w:val="18"/>
          <w:szCs w:val="18"/>
          <w:lang w:eastAsia="it-IT"/>
        </w:rPr>
        <w:t>Esaminando le previsioni di cassa, la diminuzione prudenziale delle previsioni sulle entrate, a fronte di una costante spesa corrente, se confermate porterebbero ad una erosione del saldo di cassa che si riduce di € 1.314.733,24</w:t>
      </w:r>
      <w:r w:rsidR="00A33B15">
        <w:rPr>
          <w:rFonts w:ascii="Trebuchet MS" w:hAnsi="Trebuchet MS"/>
          <w:kern w:val="0"/>
          <w:sz w:val="18"/>
          <w:szCs w:val="18"/>
          <w:lang w:eastAsia="it-IT"/>
        </w:rPr>
        <w:t xml:space="preserve"> (8.888.519,99 – 7.573.786,75).</w:t>
      </w:r>
    </w:p>
    <w:p w14:paraId="47DBDBC6" w14:textId="4EE6497E" w:rsidR="00CB4B91" w:rsidRDefault="00CB4B91" w:rsidP="00CB4B91">
      <w:pPr>
        <w:spacing w:after="200" w:line="276" w:lineRule="auto"/>
        <w:ind w:firstLine="0"/>
        <w:jc w:val="left"/>
        <w:rPr>
          <w:rFonts w:ascii="Trebuchet MS" w:hAnsi="Trebuchet MS"/>
          <w:sz w:val="18"/>
          <w:szCs w:val="18"/>
        </w:rPr>
      </w:pPr>
    </w:p>
    <w:p w14:paraId="24413642" w14:textId="1E91DDF0" w:rsidR="008945C0" w:rsidRPr="00026CAB" w:rsidRDefault="008945C0" w:rsidP="00CB4B91">
      <w:pPr>
        <w:ind w:firstLine="0"/>
        <w:rPr>
          <w:rFonts w:ascii="Trebuchet MS" w:hAnsi="Trebuchet MS"/>
          <w:b/>
          <w:bCs/>
          <w:sz w:val="18"/>
          <w:szCs w:val="18"/>
        </w:rPr>
      </w:pPr>
      <w:r w:rsidRPr="00026CAB">
        <w:rPr>
          <w:rFonts w:ascii="Trebuchet MS" w:hAnsi="Trebuchet MS"/>
          <w:b/>
          <w:bCs/>
          <w:sz w:val="18"/>
          <w:szCs w:val="18"/>
        </w:rPr>
        <w:t>Risultato di amm</w:t>
      </w:r>
      <w:r w:rsidR="00026CAB" w:rsidRPr="00026CAB">
        <w:rPr>
          <w:rFonts w:ascii="Trebuchet MS" w:hAnsi="Trebuchet MS"/>
          <w:b/>
          <w:bCs/>
          <w:sz w:val="18"/>
          <w:szCs w:val="18"/>
        </w:rPr>
        <w:t>i</w:t>
      </w:r>
      <w:r w:rsidRPr="00026CAB">
        <w:rPr>
          <w:rFonts w:ascii="Trebuchet MS" w:hAnsi="Trebuchet MS"/>
          <w:b/>
          <w:bCs/>
          <w:sz w:val="18"/>
          <w:szCs w:val="18"/>
        </w:rPr>
        <w:t xml:space="preserve">nistrazione </w:t>
      </w:r>
      <w:r w:rsidR="00026CAB" w:rsidRPr="00026CAB">
        <w:rPr>
          <w:rFonts w:ascii="Trebuchet MS" w:hAnsi="Trebuchet MS"/>
          <w:b/>
          <w:bCs/>
          <w:sz w:val="18"/>
          <w:szCs w:val="18"/>
        </w:rPr>
        <w:t>presunto</w:t>
      </w:r>
    </w:p>
    <w:p w14:paraId="588B17C4" w14:textId="6F3F6A7A" w:rsidR="00CB4B91" w:rsidRDefault="00026CAB" w:rsidP="00CB4B91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N</w:t>
      </w:r>
      <w:r w:rsidR="00CB4B91" w:rsidRPr="00A42154">
        <w:rPr>
          <w:rFonts w:ascii="Trebuchet MS" w:hAnsi="Trebuchet MS"/>
          <w:sz w:val="18"/>
          <w:szCs w:val="18"/>
        </w:rPr>
        <w:t>ella tabella che segue</w:t>
      </w:r>
      <w:r w:rsidR="00EF2696">
        <w:rPr>
          <w:rFonts w:ascii="Trebuchet MS" w:hAnsi="Trebuchet MS"/>
          <w:sz w:val="18"/>
          <w:szCs w:val="18"/>
        </w:rPr>
        <w:t>,</w:t>
      </w:r>
      <w:r w:rsidR="00430256">
        <w:rPr>
          <w:rFonts w:ascii="Trebuchet MS" w:hAnsi="Trebuchet MS"/>
          <w:sz w:val="18"/>
          <w:szCs w:val="18"/>
        </w:rPr>
        <w:t xml:space="preserve"> fornitaci dall’Ente</w:t>
      </w:r>
      <w:r w:rsidR="00CB4B91" w:rsidRPr="00A42154">
        <w:rPr>
          <w:rFonts w:ascii="Trebuchet MS" w:hAnsi="Trebuchet MS"/>
          <w:sz w:val="18"/>
          <w:szCs w:val="18"/>
        </w:rPr>
        <w:t>, viene data dimostrazione del risultato di amministrazione dell’esercizio precedente a quello a cu</w:t>
      </w:r>
      <w:r w:rsidR="00430256">
        <w:rPr>
          <w:rFonts w:ascii="Trebuchet MS" w:hAnsi="Trebuchet MS"/>
          <w:sz w:val="18"/>
          <w:szCs w:val="18"/>
        </w:rPr>
        <w:t>i</w:t>
      </w:r>
      <w:r w:rsidR="00CB4B91" w:rsidRPr="00A42154">
        <w:rPr>
          <w:rFonts w:ascii="Trebuchet MS" w:hAnsi="Trebuchet MS"/>
          <w:sz w:val="18"/>
          <w:szCs w:val="18"/>
        </w:rPr>
        <w:t xml:space="preserve"> si riferisce il presente bilancio:</w:t>
      </w:r>
    </w:p>
    <w:p w14:paraId="40928E13" w14:textId="516132B6" w:rsidR="00662309" w:rsidRDefault="00662309" w:rsidP="00CB4B91">
      <w:pPr>
        <w:ind w:firstLine="0"/>
        <w:rPr>
          <w:rFonts w:ascii="Trebuchet MS" w:hAnsi="Trebuchet MS"/>
          <w:sz w:val="18"/>
          <w:szCs w:val="18"/>
        </w:rPr>
      </w:pPr>
    </w:p>
    <w:p w14:paraId="18E358B8" w14:textId="0D0172B8" w:rsidR="00662309" w:rsidRDefault="00662309" w:rsidP="00CB4B91">
      <w:pPr>
        <w:ind w:firstLine="0"/>
        <w:rPr>
          <w:rFonts w:ascii="Trebuchet MS" w:hAnsi="Trebuchet MS"/>
          <w:sz w:val="18"/>
          <w:szCs w:val="18"/>
        </w:rPr>
      </w:pPr>
      <w:r w:rsidRPr="00662309">
        <w:rPr>
          <w:rFonts w:ascii="Trebuchet MS" w:hAnsi="Trebuchet MS"/>
          <w:noProof/>
          <w:sz w:val="18"/>
          <w:szCs w:val="18"/>
        </w:rPr>
        <w:drawing>
          <wp:inline distT="0" distB="0" distL="0" distR="0" wp14:anchorId="5F0DCD54" wp14:editId="15F99FE5">
            <wp:extent cx="6275357" cy="254725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374" cy="256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A66DF" w14:textId="08CA78C4" w:rsidR="00662309" w:rsidRPr="002A31B2" w:rsidRDefault="00C53B2B" w:rsidP="00CB4B91">
      <w:pPr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Si </w:t>
      </w:r>
      <w:r w:rsidR="00D65305">
        <w:rPr>
          <w:rFonts w:ascii="Trebuchet MS" w:hAnsi="Trebuchet MS"/>
          <w:sz w:val="18"/>
          <w:szCs w:val="18"/>
        </w:rPr>
        <w:t>evidenzia, infine,</w:t>
      </w:r>
      <w:r>
        <w:rPr>
          <w:rFonts w:ascii="Trebuchet MS" w:hAnsi="Trebuchet MS"/>
          <w:sz w:val="18"/>
          <w:szCs w:val="18"/>
        </w:rPr>
        <w:t xml:space="preserve"> che </w:t>
      </w:r>
      <w:r w:rsidR="00662309" w:rsidRPr="00662309">
        <w:rPr>
          <w:rFonts w:ascii="Trebuchet MS" w:hAnsi="Trebuchet MS"/>
          <w:sz w:val="18"/>
          <w:szCs w:val="18"/>
        </w:rPr>
        <w:t>in nota integrativa</w:t>
      </w:r>
      <w:r w:rsidR="00EF2696">
        <w:rPr>
          <w:rFonts w:ascii="Trebuchet MS" w:hAnsi="Trebuchet MS"/>
          <w:sz w:val="18"/>
          <w:szCs w:val="18"/>
        </w:rPr>
        <w:t xml:space="preserve">, specificatamente nella sezione 2, </w:t>
      </w:r>
      <w:r w:rsidR="00662309" w:rsidRPr="00662309">
        <w:rPr>
          <w:rFonts w:ascii="Trebuchet MS" w:hAnsi="Trebuchet MS"/>
          <w:sz w:val="18"/>
          <w:szCs w:val="18"/>
        </w:rPr>
        <w:t xml:space="preserve">viene data contezza delle quote del risultato presunto di amministrazione accantonate/vincolate/destinate a investimenti </w:t>
      </w:r>
      <w:r w:rsidR="00EF2696">
        <w:rPr>
          <w:rFonts w:ascii="Trebuchet MS" w:hAnsi="Trebuchet MS"/>
          <w:sz w:val="18"/>
          <w:szCs w:val="18"/>
        </w:rPr>
        <w:t xml:space="preserve">così come </w:t>
      </w:r>
      <w:r w:rsidR="00662309" w:rsidRPr="00662309">
        <w:rPr>
          <w:rFonts w:ascii="Trebuchet MS" w:hAnsi="Trebuchet MS"/>
          <w:sz w:val="18"/>
          <w:szCs w:val="18"/>
        </w:rPr>
        <w:t>esposte negli allegati a1) a2) e a3) del bilancio di previsione 2022/2024</w:t>
      </w:r>
      <w:r w:rsidR="00EF2696">
        <w:rPr>
          <w:rFonts w:ascii="Trebuchet MS" w:hAnsi="Trebuchet MS"/>
          <w:sz w:val="18"/>
          <w:szCs w:val="18"/>
        </w:rPr>
        <w:t xml:space="preserve"> e rilevati già in sede di ultimo </w:t>
      </w:r>
      <w:r w:rsidR="00EF2696" w:rsidRPr="002A31B2">
        <w:rPr>
          <w:rFonts w:ascii="Trebuchet MS" w:hAnsi="Trebuchet MS"/>
          <w:color w:val="000000" w:themeColor="text1"/>
          <w:sz w:val="18"/>
          <w:szCs w:val="18"/>
        </w:rPr>
        <w:t>rendiconto 2020 approvato</w:t>
      </w:r>
      <w:r w:rsidR="002A31B2" w:rsidRPr="002A31B2">
        <w:rPr>
          <w:rFonts w:ascii="Trebuchet MS" w:hAnsi="Trebuchet MS"/>
          <w:color w:val="000000" w:themeColor="text1"/>
          <w:sz w:val="18"/>
          <w:szCs w:val="18"/>
        </w:rPr>
        <w:t>.</w:t>
      </w:r>
    </w:p>
    <w:p w14:paraId="08461D53" w14:textId="2C3B0989" w:rsidR="000A4F95" w:rsidRDefault="000A4F95" w:rsidP="00CB4B91">
      <w:pPr>
        <w:ind w:firstLine="0"/>
        <w:rPr>
          <w:rFonts w:ascii="Trebuchet MS" w:hAnsi="Trebuchet MS"/>
          <w:color w:val="FF0000"/>
          <w:sz w:val="18"/>
          <w:szCs w:val="18"/>
        </w:rPr>
      </w:pPr>
    </w:p>
    <w:p w14:paraId="701FB20F" w14:textId="77777777" w:rsidR="00D65305" w:rsidRDefault="00D65305" w:rsidP="00D65305">
      <w:pPr>
        <w:spacing w:after="0"/>
        <w:ind w:firstLine="0"/>
        <w:jc w:val="center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t>VERIFICA EQUILIBRIO CORRENTE ANNI 2022-2024</w:t>
      </w:r>
    </w:p>
    <w:p w14:paraId="0AFEDE6A" w14:textId="77777777" w:rsidR="00D65305" w:rsidRDefault="00D65305" w:rsidP="00D65305">
      <w:pPr>
        <w:spacing w:after="0"/>
        <w:ind w:firstLine="0"/>
        <w:jc w:val="center"/>
        <w:rPr>
          <w:rFonts w:ascii="Trebuchet MS" w:hAnsi="Trebuchet MS"/>
          <w:b/>
          <w:szCs w:val="22"/>
        </w:rPr>
      </w:pPr>
    </w:p>
    <w:p w14:paraId="6B0C19ED" w14:textId="6F4B849E" w:rsidR="00A0087F" w:rsidRDefault="00D65305" w:rsidP="00A0087F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Il bilancio di previsione in esame è stato redatto nel rispetto del principio del pareggio di bilancio</w:t>
      </w:r>
      <w:r w:rsidR="00A0087F">
        <w:rPr>
          <w:rFonts w:ascii="Trebuchet MS" w:hAnsi="Trebuchet MS"/>
          <w:sz w:val="18"/>
          <w:szCs w:val="18"/>
        </w:rPr>
        <w:t>. Infatti, l’impostazione del bilancio di previsione 2022-2024 è tale da garantire il rispetto del saldo di competenza d’esercizio non negativo ai sensi dell’art.1, comma 821, Legge n.145/2018</w:t>
      </w:r>
      <w:r w:rsidR="00F85AB6">
        <w:rPr>
          <w:rFonts w:ascii="Trebuchet MS" w:hAnsi="Trebuchet MS"/>
          <w:sz w:val="18"/>
          <w:szCs w:val="18"/>
        </w:rPr>
        <w:t xml:space="preserve">. </w:t>
      </w:r>
      <w:r w:rsidR="00A0087F">
        <w:rPr>
          <w:rFonts w:ascii="Trebuchet MS" w:hAnsi="Trebuchet MS"/>
          <w:sz w:val="18"/>
          <w:szCs w:val="18"/>
        </w:rPr>
        <w:t>L’equilibrio richiesto è così assicurato.</w:t>
      </w:r>
    </w:p>
    <w:p w14:paraId="7593B78B" w14:textId="3385C084" w:rsidR="00A0087F" w:rsidRPr="00A0087F" w:rsidRDefault="00A0087F" w:rsidP="00A0087F">
      <w:pPr>
        <w:ind w:firstLine="0"/>
        <w:rPr>
          <w:rFonts w:ascii="Trebuchet MS" w:hAnsi="Trebuchet MS"/>
          <w:sz w:val="18"/>
          <w:szCs w:val="18"/>
        </w:rPr>
      </w:pPr>
      <w:r w:rsidRPr="00A0087F">
        <w:rPr>
          <w:rFonts w:ascii="Trebuchet MS" w:hAnsi="Trebuchet MS"/>
          <w:sz w:val="18"/>
          <w:szCs w:val="18"/>
        </w:rPr>
        <w:t xml:space="preserve">Il Collegio ha provveduto al controllo degli equilibri risultanti dal </w:t>
      </w:r>
      <w:r w:rsidR="001E06B7">
        <w:rPr>
          <w:rFonts w:ascii="Trebuchet MS" w:hAnsi="Trebuchet MS"/>
          <w:sz w:val="18"/>
          <w:szCs w:val="18"/>
        </w:rPr>
        <w:t xml:space="preserve">bilancio di previsione 2022-2024 </w:t>
      </w:r>
      <w:r w:rsidRPr="00A0087F">
        <w:rPr>
          <w:rFonts w:ascii="Trebuchet MS" w:hAnsi="Trebuchet MS"/>
          <w:sz w:val="18"/>
          <w:szCs w:val="18"/>
        </w:rPr>
        <w:t>distinti in equilibrio di parte corrente, di parte capitale ed equilibrio finale</w:t>
      </w:r>
      <w:r w:rsidR="001E06B7">
        <w:rPr>
          <w:rFonts w:ascii="Trebuchet MS" w:hAnsi="Trebuchet MS"/>
          <w:sz w:val="18"/>
          <w:szCs w:val="18"/>
        </w:rPr>
        <w:t>.</w:t>
      </w:r>
    </w:p>
    <w:p w14:paraId="58BACD53" w14:textId="74316AB3" w:rsidR="00A0087F" w:rsidRDefault="00A0087F" w:rsidP="00D65305">
      <w:pPr>
        <w:ind w:firstLine="0"/>
        <w:rPr>
          <w:rFonts w:ascii="Trebuchet MS" w:hAnsi="Trebuchet MS"/>
          <w:sz w:val="18"/>
          <w:szCs w:val="18"/>
        </w:rPr>
      </w:pPr>
      <w:r w:rsidRPr="00A0087F">
        <w:rPr>
          <w:rFonts w:ascii="Trebuchet MS" w:hAnsi="Trebuchet MS"/>
          <w:sz w:val="18"/>
          <w:szCs w:val="18"/>
        </w:rPr>
        <w:t>Si riporta di seguito il prospetto inoltrato dall’Istituto</w:t>
      </w:r>
      <w:r w:rsidR="001E06B7">
        <w:rPr>
          <w:rFonts w:ascii="Trebuchet MS" w:hAnsi="Trebuchet MS"/>
          <w:sz w:val="18"/>
          <w:szCs w:val="18"/>
        </w:rPr>
        <w:t>:</w:t>
      </w:r>
    </w:p>
    <w:p w14:paraId="6FE99C57" w14:textId="77777777" w:rsidR="00D65305" w:rsidRDefault="00D65305" w:rsidP="00CB4B91">
      <w:pPr>
        <w:ind w:firstLine="0"/>
        <w:rPr>
          <w:rFonts w:ascii="Trebuchet MS" w:hAnsi="Trebuchet MS"/>
          <w:color w:val="FF0000"/>
          <w:sz w:val="18"/>
          <w:szCs w:val="18"/>
        </w:rPr>
      </w:pPr>
    </w:p>
    <w:p w14:paraId="6B083F92" w14:textId="709CEA3B" w:rsidR="00D65305" w:rsidRDefault="00A0087F" w:rsidP="00A0087F">
      <w:pPr>
        <w:ind w:firstLine="0"/>
        <w:jc w:val="center"/>
        <w:rPr>
          <w:rFonts w:ascii="Trebuchet MS" w:hAnsi="Trebuchet MS"/>
          <w:color w:val="FF0000"/>
          <w:sz w:val="18"/>
          <w:szCs w:val="18"/>
        </w:rPr>
      </w:pPr>
      <w:r w:rsidRPr="007A6206">
        <w:rPr>
          <w:noProof/>
        </w:rPr>
        <w:drawing>
          <wp:inline distT="0" distB="0" distL="0" distR="0" wp14:anchorId="4ED2BC30" wp14:editId="058A66DE">
            <wp:extent cx="6120130" cy="3895356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8A11A" w14:textId="5CC93635" w:rsidR="00D65305" w:rsidRDefault="00A0087F" w:rsidP="00A0087F">
      <w:pPr>
        <w:ind w:firstLine="0"/>
        <w:jc w:val="center"/>
        <w:rPr>
          <w:rFonts w:ascii="Trebuchet MS" w:hAnsi="Trebuchet MS"/>
          <w:color w:val="FF0000"/>
          <w:sz w:val="18"/>
          <w:szCs w:val="18"/>
        </w:rPr>
      </w:pPr>
      <w:r w:rsidRPr="007A6206">
        <w:rPr>
          <w:noProof/>
        </w:rPr>
        <w:drawing>
          <wp:inline distT="0" distB="0" distL="0" distR="0" wp14:anchorId="2E3182F2" wp14:editId="3C7942C6">
            <wp:extent cx="6108058" cy="2897580"/>
            <wp:effectExtent l="0" t="0" r="762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459" cy="290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D3826" w14:textId="21CFED9D" w:rsidR="00D65305" w:rsidRDefault="00D65305" w:rsidP="00CB4B91">
      <w:pPr>
        <w:ind w:firstLine="0"/>
        <w:rPr>
          <w:rFonts w:ascii="Trebuchet MS" w:hAnsi="Trebuchet MS"/>
          <w:color w:val="FF0000"/>
          <w:sz w:val="18"/>
          <w:szCs w:val="18"/>
        </w:rPr>
      </w:pPr>
    </w:p>
    <w:p w14:paraId="40DB516A" w14:textId="38CF1DE2" w:rsidR="00D65305" w:rsidRDefault="00D65305" w:rsidP="00CB4B91">
      <w:pPr>
        <w:ind w:firstLine="0"/>
        <w:rPr>
          <w:rFonts w:ascii="Trebuchet MS" w:hAnsi="Trebuchet MS"/>
          <w:color w:val="FF0000"/>
          <w:sz w:val="18"/>
          <w:szCs w:val="18"/>
        </w:rPr>
      </w:pPr>
    </w:p>
    <w:p w14:paraId="0A1DBAD6" w14:textId="77777777" w:rsidR="00CB4B91" w:rsidRPr="00A42154" w:rsidRDefault="00CB4B91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3195654E" w14:textId="77777777" w:rsidR="00CB4B91" w:rsidRPr="00FB55BF" w:rsidRDefault="00CB4B91" w:rsidP="00CB4B91">
      <w:pPr>
        <w:spacing w:after="0" w:line="360" w:lineRule="auto"/>
        <w:ind w:firstLine="0"/>
        <w:rPr>
          <w:rFonts w:ascii="Trebuchet MS" w:hAnsi="Trebuchet MS"/>
          <w:b/>
          <w:bCs/>
          <w:szCs w:val="22"/>
        </w:rPr>
      </w:pPr>
      <w:r w:rsidRPr="00FB55BF">
        <w:rPr>
          <w:rFonts w:ascii="Trebuchet MS" w:hAnsi="Trebuchet MS"/>
          <w:b/>
          <w:bCs/>
          <w:szCs w:val="22"/>
        </w:rPr>
        <w:t xml:space="preserve">ESAME DELLE ENTRATE </w:t>
      </w:r>
    </w:p>
    <w:p w14:paraId="4B5C38B4" w14:textId="77777777" w:rsidR="00CB4B91" w:rsidRPr="00A42154" w:rsidRDefault="00CB4B91" w:rsidP="00CB4B91">
      <w:pPr>
        <w:spacing w:after="0" w:line="360" w:lineRule="auto"/>
        <w:ind w:firstLine="0"/>
        <w:rPr>
          <w:rFonts w:ascii="Trebuchet MS" w:hAnsi="Trebuchet MS"/>
          <w:b/>
          <w:sz w:val="18"/>
          <w:szCs w:val="18"/>
        </w:rPr>
      </w:pPr>
      <w:r w:rsidRPr="00A42154">
        <w:rPr>
          <w:rFonts w:ascii="Trebuchet MS" w:hAnsi="Trebuchet MS"/>
          <w:b/>
          <w:smallCaps/>
          <w:sz w:val="18"/>
          <w:szCs w:val="18"/>
        </w:rPr>
        <w:t>ENTRATE CORRENTI</w:t>
      </w:r>
    </w:p>
    <w:p w14:paraId="2BF8234A" w14:textId="6DA11A9D" w:rsidR="00CB4B91" w:rsidRPr="00A42154" w:rsidRDefault="00CB4B91" w:rsidP="00CB4B91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 xml:space="preserve">Le entrate correnti, con il raffronto delle previsioni definitive dell’esercizio </w:t>
      </w:r>
      <w:r w:rsidR="00A4794D">
        <w:rPr>
          <w:rFonts w:ascii="Trebuchet MS" w:hAnsi="Trebuchet MS"/>
          <w:sz w:val="18"/>
          <w:szCs w:val="18"/>
        </w:rPr>
        <w:t>2021</w:t>
      </w:r>
      <w:r w:rsidRPr="00A42154">
        <w:rPr>
          <w:rFonts w:ascii="Trebuchet MS" w:hAnsi="Trebuchet MS"/>
          <w:sz w:val="18"/>
          <w:szCs w:val="18"/>
        </w:rPr>
        <w:t>, sono rappresentate nella seguente tabella:</w:t>
      </w:r>
    </w:p>
    <w:p w14:paraId="696E95D0" w14:textId="77777777" w:rsidR="00CB4B91" w:rsidRPr="00A42154" w:rsidRDefault="00C92955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  <w:r w:rsidRPr="00C92955">
        <w:rPr>
          <w:noProof/>
        </w:rPr>
        <w:drawing>
          <wp:inline distT="0" distB="0" distL="0" distR="0" wp14:anchorId="346BEEEE" wp14:editId="605F1F17">
            <wp:extent cx="6169231" cy="162806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936" cy="16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5F35" w14:textId="77777777" w:rsidR="003B67EE" w:rsidRDefault="003B67EE" w:rsidP="003B67EE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18604F26" w14:textId="2FE47D5E" w:rsidR="003B67EE" w:rsidRDefault="003B67EE" w:rsidP="003B67EE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Analisi delle principali voci di entrata:</w:t>
      </w:r>
    </w:p>
    <w:p w14:paraId="567748B3" w14:textId="77777777" w:rsidR="003B67EE" w:rsidRPr="003B67EE" w:rsidRDefault="003B67EE" w:rsidP="00CB4B91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461E72EC" w14:textId="074269F0" w:rsidR="003A366D" w:rsidRPr="003B67EE" w:rsidRDefault="003B67EE" w:rsidP="003A366D">
      <w:pPr>
        <w:pStyle w:val="Standard"/>
        <w:numPr>
          <w:ilvl w:val="0"/>
          <w:numId w:val="24"/>
        </w:numPr>
        <w:tabs>
          <w:tab w:val="left" w:pos="1423"/>
        </w:tabs>
        <w:ind w:left="714" w:hanging="430"/>
        <w:jc w:val="both"/>
        <w:rPr>
          <w:rFonts w:ascii="Trebuchet MS" w:hAnsi="Trebuchet MS"/>
          <w:kern w:val="0"/>
          <w:sz w:val="18"/>
          <w:szCs w:val="18"/>
          <w:lang w:eastAsia="it-IT"/>
        </w:rPr>
      </w:pPr>
      <w:r>
        <w:rPr>
          <w:rFonts w:ascii="Trebuchet MS" w:hAnsi="Trebuchet MS"/>
          <w:kern w:val="0"/>
          <w:sz w:val="18"/>
          <w:szCs w:val="18"/>
          <w:lang w:eastAsia="it-IT"/>
        </w:rPr>
        <w:t>e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>ntrate derivanti da trasferimenti correnti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: 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>nello specifico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>,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 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>così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 come rilevato 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>nella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 relazione al bilancio di previsione e 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>nella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 nota integrativa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>,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 fatta eccezione per il trasferimento della quota del Fondo Integrativo nazionale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>,</w:t>
      </w:r>
      <w:r>
        <w:rPr>
          <w:rFonts w:ascii="Trebuchet MS" w:hAnsi="Trebuchet MS"/>
          <w:kern w:val="0"/>
          <w:sz w:val="18"/>
          <w:szCs w:val="18"/>
          <w:lang w:eastAsia="it-IT"/>
        </w:rPr>
        <w:t xml:space="preserve"> 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>derivano dai proventi della tassa per il diritto allo studio</w:t>
      </w:r>
      <w:r w:rsidR="00F85AB6">
        <w:rPr>
          <w:rFonts w:ascii="Trebuchet MS" w:hAnsi="Trebuchet MS"/>
          <w:kern w:val="0"/>
          <w:sz w:val="18"/>
          <w:szCs w:val="18"/>
          <w:lang w:eastAsia="it-IT"/>
        </w:rPr>
        <w:t>;</w:t>
      </w:r>
      <w:r w:rsidR="003A366D"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  </w:t>
      </w:r>
    </w:p>
    <w:p w14:paraId="192B9D28" w14:textId="3D3E2DE0" w:rsidR="003A366D" w:rsidRPr="003B67EE" w:rsidRDefault="003A366D" w:rsidP="003A366D">
      <w:pPr>
        <w:pStyle w:val="Standard"/>
        <w:numPr>
          <w:ilvl w:val="0"/>
          <w:numId w:val="23"/>
        </w:numPr>
        <w:tabs>
          <w:tab w:val="left" w:pos="1423"/>
        </w:tabs>
        <w:ind w:left="714" w:hanging="430"/>
        <w:jc w:val="both"/>
        <w:rPr>
          <w:rFonts w:ascii="Trebuchet MS" w:hAnsi="Trebuchet MS"/>
          <w:kern w:val="0"/>
          <w:sz w:val="18"/>
          <w:szCs w:val="18"/>
          <w:lang w:eastAsia="it-IT"/>
        </w:rPr>
      </w:pPr>
      <w:r w:rsidRPr="003B67EE">
        <w:rPr>
          <w:rFonts w:ascii="Trebuchet MS" w:hAnsi="Trebuchet MS"/>
          <w:kern w:val="0"/>
          <w:sz w:val="18"/>
          <w:szCs w:val="18"/>
          <w:lang w:eastAsia="it-IT"/>
        </w:rPr>
        <w:t>Altre Entrate</w:t>
      </w:r>
      <w:r w:rsidR="003B67EE" w:rsidRPr="003B67EE">
        <w:rPr>
          <w:rFonts w:ascii="Trebuchet MS" w:hAnsi="Trebuchet MS"/>
          <w:kern w:val="0"/>
          <w:sz w:val="18"/>
          <w:szCs w:val="18"/>
          <w:lang w:eastAsia="it-IT"/>
        </w:rPr>
        <w:t>:</w:t>
      </w:r>
      <w:r w:rsidRPr="003B67EE">
        <w:rPr>
          <w:rFonts w:ascii="Trebuchet MS" w:hAnsi="Trebuchet MS"/>
          <w:kern w:val="0"/>
          <w:sz w:val="18"/>
          <w:szCs w:val="18"/>
          <w:lang w:eastAsia="it-IT"/>
        </w:rPr>
        <w:t xml:space="preserve"> derivano dal titolo 3 tipologia 100 “Vendita di beni e servizi e proventi derivanti dalla gestione di beni” e dalla tipologia 500 “rimborsi e altre entrate correnti”.</w:t>
      </w:r>
    </w:p>
    <w:p w14:paraId="40023F9A" w14:textId="77777777" w:rsidR="00ED095C" w:rsidRPr="003B67EE" w:rsidRDefault="00ED095C" w:rsidP="003A366D">
      <w:pPr>
        <w:pStyle w:val="Standard"/>
        <w:tabs>
          <w:tab w:val="left" w:pos="1423"/>
        </w:tabs>
        <w:ind w:left="714" w:hanging="430"/>
        <w:rPr>
          <w:rFonts w:ascii="Trebuchet MS" w:hAnsi="Trebuchet MS"/>
          <w:kern w:val="0"/>
          <w:sz w:val="18"/>
          <w:szCs w:val="18"/>
          <w:lang w:eastAsia="it-IT"/>
        </w:rPr>
      </w:pPr>
    </w:p>
    <w:p w14:paraId="3938BDB5" w14:textId="3F191332" w:rsidR="003A366D" w:rsidRPr="003B67EE" w:rsidRDefault="003A366D" w:rsidP="00154394">
      <w:pPr>
        <w:pStyle w:val="Standard"/>
        <w:tabs>
          <w:tab w:val="left" w:pos="1423"/>
        </w:tabs>
        <w:jc w:val="both"/>
        <w:rPr>
          <w:rFonts w:ascii="Trebuchet MS" w:hAnsi="Trebuchet MS"/>
          <w:kern w:val="0"/>
          <w:sz w:val="18"/>
          <w:szCs w:val="18"/>
          <w:lang w:eastAsia="it-IT"/>
        </w:rPr>
      </w:pPr>
      <w:r w:rsidRPr="003B67EE">
        <w:rPr>
          <w:rFonts w:ascii="Trebuchet MS" w:hAnsi="Trebuchet MS"/>
          <w:kern w:val="0"/>
          <w:sz w:val="18"/>
          <w:szCs w:val="18"/>
          <w:lang w:eastAsia="it-IT"/>
        </w:rPr>
        <w:t>Sulla diminuzione delle entrate correnti anno 2022 rispetto alle previsioni definitive anno 2021 e all'aumento delle altre entrate nulla viene specificato sulla Nota integrativa.</w:t>
      </w:r>
    </w:p>
    <w:p w14:paraId="50D288BE" w14:textId="77777777" w:rsidR="003A366D" w:rsidRPr="003B67EE" w:rsidRDefault="003A366D" w:rsidP="003A366D">
      <w:pPr>
        <w:pStyle w:val="Standard"/>
        <w:spacing w:line="360" w:lineRule="auto"/>
        <w:rPr>
          <w:rFonts w:ascii="Trebuchet MS" w:hAnsi="Trebuchet MS"/>
          <w:b/>
          <w:smallCaps/>
          <w:color w:val="000000" w:themeColor="text1"/>
          <w:sz w:val="18"/>
          <w:szCs w:val="18"/>
        </w:rPr>
      </w:pPr>
    </w:p>
    <w:p w14:paraId="06A55467" w14:textId="77777777" w:rsidR="00CB4B91" w:rsidRPr="00A42154" w:rsidRDefault="00CB4B91" w:rsidP="00CB4B91">
      <w:pPr>
        <w:spacing w:after="0" w:line="360" w:lineRule="auto"/>
        <w:ind w:firstLine="0"/>
        <w:rPr>
          <w:rFonts w:ascii="Trebuchet MS" w:hAnsi="Trebuchet MS"/>
          <w:b/>
          <w:smallCaps/>
          <w:sz w:val="18"/>
          <w:szCs w:val="18"/>
        </w:rPr>
      </w:pPr>
    </w:p>
    <w:p w14:paraId="0FA395F7" w14:textId="77777777" w:rsidR="00CB4B91" w:rsidRPr="00A42154" w:rsidRDefault="00CB4B91" w:rsidP="00CB4B91">
      <w:pPr>
        <w:ind w:firstLine="0"/>
        <w:rPr>
          <w:rFonts w:ascii="Trebuchet MS" w:hAnsi="Trebuchet MS"/>
          <w:b/>
          <w:sz w:val="18"/>
          <w:szCs w:val="18"/>
        </w:rPr>
      </w:pPr>
      <w:r w:rsidRPr="00A42154">
        <w:rPr>
          <w:rFonts w:ascii="Trebuchet MS" w:hAnsi="Trebuchet MS"/>
          <w:b/>
          <w:smallCaps/>
          <w:sz w:val="18"/>
          <w:szCs w:val="18"/>
        </w:rPr>
        <w:t>ENTRATE IN CONTO CAPITALE</w:t>
      </w:r>
    </w:p>
    <w:p w14:paraId="11BCCE18" w14:textId="19E6D6C9" w:rsidR="001B26F9" w:rsidRPr="00F85AB6" w:rsidRDefault="001B26F9" w:rsidP="00CB4B91">
      <w:pPr>
        <w:ind w:firstLine="0"/>
        <w:rPr>
          <w:rFonts w:ascii="Trebuchet MS" w:hAnsi="Trebuchet MS"/>
          <w:color w:val="000000" w:themeColor="text1"/>
          <w:sz w:val="18"/>
          <w:szCs w:val="18"/>
        </w:rPr>
      </w:pPr>
      <w:r w:rsidRPr="00F85AB6">
        <w:rPr>
          <w:rFonts w:ascii="Trebuchet MS" w:hAnsi="Trebuchet MS"/>
          <w:color w:val="000000" w:themeColor="text1"/>
          <w:sz w:val="18"/>
          <w:szCs w:val="18"/>
        </w:rPr>
        <w:t>Non ci sono entrate in conto capitale</w:t>
      </w:r>
      <w:r w:rsidR="00F85AB6">
        <w:rPr>
          <w:rFonts w:ascii="Trebuchet MS" w:hAnsi="Trebuchet MS"/>
          <w:color w:val="000000" w:themeColor="text1"/>
          <w:sz w:val="18"/>
          <w:szCs w:val="18"/>
        </w:rPr>
        <w:t>.</w:t>
      </w:r>
    </w:p>
    <w:p w14:paraId="133B2C63" w14:textId="77777777" w:rsidR="00CB4B91" w:rsidRPr="00A42154" w:rsidRDefault="00CB4B91" w:rsidP="00CB4B91">
      <w:pPr>
        <w:spacing w:after="0" w:line="360" w:lineRule="auto"/>
        <w:ind w:firstLine="0"/>
        <w:rPr>
          <w:rFonts w:ascii="Trebuchet MS" w:hAnsi="Trebuchet MS"/>
          <w:b/>
          <w:bCs/>
          <w:sz w:val="18"/>
          <w:szCs w:val="18"/>
        </w:rPr>
      </w:pPr>
    </w:p>
    <w:p w14:paraId="6022983F" w14:textId="77777777" w:rsidR="00CB4B91" w:rsidRPr="00FB55BF" w:rsidRDefault="00CB4B91" w:rsidP="00CB4B91">
      <w:pPr>
        <w:spacing w:after="0" w:line="360" w:lineRule="auto"/>
        <w:ind w:firstLine="0"/>
        <w:rPr>
          <w:rFonts w:ascii="Trebuchet MS" w:hAnsi="Trebuchet MS"/>
          <w:b/>
          <w:bCs/>
          <w:szCs w:val="22"/>
        </w:rPr>
      </w:pPr>
      <w:r w:rsidRPr="00FB55BF">
        <w:rPr>
          <w:rFonts w:ascii="Trebuchet MS" w:hAnsi="Trebuchet MS"/>
          <w:b/>
          <w:bCs/>
          <w:szCs w:val="22"/>
        </w:rPr>
        <w:t xml:space="preserve">ESAME DELLE SPESE </w:t>
      </w:r>
    </w:p>
    <w:p w14:paraId="2A379143" w14:textId="77777777" w:rsidR="00CB4B91" w:rsidRPr="00A42154" w:rsidRDefault="00CB4B91" w:rsidP="00CB4B91">
      <w:pPr>
        <w:spacing w:after="0" w:line="360" w:lineRule="auto"/>
        <w:ind w:firstLine="0"/>
        <w:rPr>
          <w:rFonts w:ascii="Trebuchet MS" w:hAnsi="Trebuchet MS"/>
          <w:b/>
          <w:smallCaps/>
          <w:sz w:val="18"/>
          <w:szCs w:val="18"/>
        </w:rPr>
      </w:pPr>
      <w:r w:rsidRPr="00A42154">
        <w:rPr>
          <w:rFonts w:ascii="Trebuchet MS" w:hAnsi="Trebuchet MS"/>
          <w:b/>
          <w:smallCaps/>
          <w:sz w:val="18"/>
          <w:szCs w:val="18"/>
        </w:rPr>
        <w:t>SPESE CORRENTI</w:t>
      </w:r>
    </w:p>
    <w:p w14:paraId="30CC9227" w14:textId="6C27FB52" w:rsidR="00CB4B91" w:rsidRDefault="00CB4B91" w:rsidP="00CB4B91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 xml:space="preserve">Le spese correnti, con il raffronto delle previsioni definitive dell’esercizio </w:t>
      </w:r>
      <w:r w:rsidR="00C71E64" w:rsidRPr="00FB22DF">
        <w:rPr>
          <w:rFonts w:ascii="Trebuchet MS" w:hAnsi="Trebuchet MS"/>
          <w:color w:val="000000" w:themeColor="text1"/>
          <w:sz w:val="18"/>
          <w:szCs w:val="18"/>
        </w:rPr>
        <w:t>2021</w:t>
      </w:r>
      <w:r w:rsidRPr="00A42154">
        <w:rPr>
          <w:rFonts w:ascii="Trebuchet MS" w:hAnsi="Trebuchet MS"/>
          <w:sz w:val="18"/>
          <w:szCs w:val="18"/>
        </w:rPr>
        <w:t xml:space="preserve">, sono rappresentate nella seguente tabella: </w:t>
      </w:r>
    </w:p>
    <w:p w14:paraId="54E1782B" w14:textId="77777777" w:rsidR="00593A96" w:rsidRDefault="00593A96" w:rsidP="00CB4B91">
      <w:pPr>
        <w:ind w:firstLine="0"/>
        <w:rPr>
          <w:rFonts w:ascii="Trebuchet MS" w:hAnsi="Trebuchet MS"/>
          <w:sz w:val="18"/>
          <w:szCs w:val="18"/>
        </w:rPr>
      </w:pPr>
    </w:p>
    <w:p w14:paraId="0AF987F8" w14:textId="22E95328" w:rsidR="00593A96" w:rsidRDefault="00593A96" w:rsidP="00CB4B91">
      <w:pPr>
        <w:ind w:firstLine="0"/>
      </w:pPr>
      <w:r w:rsidRPr="00593A96">
        <w:rPr>
          <w:noProof/>
        </w:rPr>
        <w:drawing>
          <wp:inline distT="0" distB="0" distL="0" distR="0" wp14:anchorId="2E7841F9" wp14:editId="1186A769">
            <wp:extent cx="6187044" cy="1733672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905" cy="17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1E816" w14:textId="77777777" w:rsidR="00593A96" w:rsidRDefault="00593A96" w:rsidP="00CB4B91">
      <w:pPr>
        <w:ind w:firstLine="0"/>
        <w:rPr>
          <w:rFonts w:ascii="Trebuchet MS" w:hAnsi="Trebuchet MS"/>
          <w:sz w:val="18"/>
          <w:szCs w:val="18"/>
        </w:rPr>
      </w:pPr>
    </w:p>
    <w:p w14:paraId="6FBDEFC0" w14:textId="77777777" w:rsidR="00114944" w:rsidRDefault="00114944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17621423" w14:textId="3F991B6D" w:rsidR="00CB4B91" w:rsidRDefault="003A366D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Analisi delle principali voci di spesa:</w:t>
      </w:r>
    </w:p>
    <w:p w14:paraId="781FCBBB" w14:textId="76D7ADD5" w:rsidR="00FB22DF" w:rsidRDefault="00FB22DF" w:rsidP="00CB4B91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4B34A99B" w14:textId="2305607D" w:rsidR="00FB22DF" w:rsidRDefault="00FB22DF" w:rsidP="00FB22DF">
      <w:pPr>
        <w:pStyle w:val="Paragrafoelenco"/>
        <w:numPr>
          <w:ilvl w:val="0"/>
          <w:numId w:val="29"/>
        </w:numPr>
        <w:spacing w:after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>imposte e tasse a carico dell’Ente</w:t>
      </w:r>
      <w:r w:rsidR="001548A0">
        <w:rPr>
          <w:rFonts w:ascii="Trebuchet MS" w:hAnsi="Trebuchet MS"/>
          <w:color w:val="000000" w:themeColor="text1"/>
          <w:sz w:val="18"/>
          <w:szCs w:val="18"/>
        </w:rPr>
        <w:t>: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 sono costituite dall’IRAP </w:t>
      </w:r>
      <w:r w:rsidR="001548A0">
        <w:rPr>
          <w:rFonts w:ascii="Trebuchet MS" w:hAnsi="Trebuchet MS"/>
          <w:color w:val="000000" w:themeColor="text1"/>
          <w:sz w:val="18"/>
          <w:szCs w:val="18"/>
        </w:rPr>
        <w:t>relativa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r w:rsidR="001548A0">
        <w:rPr>
          <w:rFonts w:ascii="Trebuchet MS" w:hAnsi="Trebuchet MS"/>
          <w:color w:val="000000" w:themeColor="text1"/>
          <w:sz w:val="18"/>
          <w:szCs w:val="18"/>
        </w:rPr>
        <w:t>a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gli organi dell’ente, </w:t>
      </w:r>
      <w:r w:rsidR="001548A0">
        <w:rPr>
          <w:rFonts w:ascii="Trebuchet MS" w:hAnsi="Trebuchet MS"/>
          <w:color w:val="000000" w:themeColor="text1"/>
          <w:sz w:val="18"/>
          <w:szCs w:val="18"/>
        </w:rPr>
        <w:t>al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 personale ex EA</w:t>
      </w:r>
      <w:r w:rsidR="001548A0">
        <w:rPr>
          <w:rFonts w:ascii="Trebuchet MS" w:hAnsi="Trebuchet MS"/>
          <w:color w:val="000000" w:themeColor="text1"/>
          <w:sz w:val="18"/>
          <w:szCs w:val="18"/>
        </w:rPr>
        <w:t>S, alle retribuzioni dei dipendenti, sui progetti obiettivo e dall’imposta di registro;</w:t>
      </w:r>
    </w:p>
    <w:p w14:paraId="43C783EB" w14:textId="0CF58692" w:rsidR="001548A0" w:rsidRDefault="001548A0" w:rsidP="002407AA">
      <w:pPr>
        <w:pStyle w:val="Paragrafoelenco"/>
        <w:numPr>
          <w:ilvl w:val="0"/>
          <w:numId w:val="29"/>
        </w:numPr>
        <w:spacing w:after="0"/>
        <w:rPr>
          <w:rFonts w:ascii="Trebuchet MS" w:hAnsi="Trebuchet MS"/>
          <w:color w:val="000000" w:themeColor="text1"/>
          <w:sz w:val="18"/>
          <w:szCs w:val="18"/>
        </w:rPr>
      </w:pPr>
      <w:r w:rsidRPr="001548A0">
        <w:rPr>
          <w:rFonts w:ascii="Trebuchet MS" w:hAnsi="Trebuchet MS"/>
          <w:color w:val="000000" w:themeColor="text1"/>
          <w:sz w:val="18"/>
          <w:szCs w:val="18"/>
        </w:rPr>
        <w:t>acquisto di beni e servizi: riguardano</w:t>
      </w:r>
      <w:r w:rsidR="008452D2">
        <w:rPr>
          <w:rFonts w:ascii="Trebuchet MS" w:hAnsi="Trebuchet MS"/>
          <w:color w:val="000000" w:themeColor="text1"/>
          <w:sz w:val="18"/>
          <w:szCs w:val="18"/>
        </w:rPr>
        <w:t xml:space="preserve"> l’acquisto di beni vari (</w:t>
      </w:r>
      <w:r w:rsidR="008452D2" w:rsidRPr="001548A0">
        <w:rPr>
          <w:rFonts w:ascii="Trebuchet MS" w:hAnsi="Trebuchet MS"/>
          <w:color w:val="000000" w:themeColor="text1"/>
          <w:sz w:val="18"/>
          <w:szCs w:val="18"/>
        </w:rPr>
        <w:t>materiali di consumo, cancelleria, stampati e</w:t>
      </w:r>
      <w:r w:rsidR="008452D2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r w:rsidR="008452D2" w:rsidRPr="001548A0">
        <w:rPr>
          <w:rFonts w:ascii="Trebuchet MS" w:hAnsi="Trebuchet MS"/>
          <w:color w:val="000000" w:themeColor="text1"/>
          <w:sz w:val="18"/>
          <w:szCs w:val="18"/>
        </w:rPr>
        <w:t>materiale tecnico</w:t>
      </w:r>
      <w:r w:rsidR="008452D2">
        <w:rPr>
          <w:rFonts w:ascii="Trebuchet MS" w:hAnsi="Trebuchet MS"/>
          <w:color w:val="000000" w:themeColor="text1"/>
          <w:sz w:val="18"/>
          <w:szCs w:val="18"/>
        </w:rPr>
        <w:t xml:space="preserve">, </w:t>
      </w:r>
      <w:r w:rsidR="008452D2" w:rsidRPr="001548A0">
        <w:rPr>
          <w:rFonts w:ascii="Trebuchet MS" w:hAnsi="Trebuchet MS"/>
          <w:color w:val="000000" w:themeColor="text1"/>
          <w:sz w:val="18"/>
          <w:szCs w:val="18"/>
        </w:rPr>
        <w:t>materiale informatico</w:t>
      </w:r>
      <w:r w:rsidR="008452D2">
        <w:rPr>
          <w:rFonts w:ascii="Trebuchet MS" w:hAnsi="Trebuchet MS"/>
          <w:color w:val="000000" w:themeColor="text1"/>
          <w:sz w:val="18"/>
          <w:szCs w:val="18"/>
        </w:rPr>
        <w:t xml:space="preserve"> ecc..)</w:t>
      </w:r>
      <w:r w:rsidR="002D1BE9">
        <w:rPr>
          <w:rFonts w:ascii="Trebuchet MS" w:hAnsi="Trebuchet MS"/>
          <w:color w:val="000000" w:themeColor="text1"/>
          <w:sz w:val="18"/>
          <w:szCs w:val="18"/>
        </w:rPr>
        <w:t>,</w:t>
      </w:r>
      <w:r w:rsidR="008452D2">
        <w:rPr>
          <w:rFonts w:ascii="Trebuchet MS" w:hAnsi="Trebuchet MS"/>
          <w:color w:val="000000" w:themeColor="text1"/>
          <w:sz w:val="18"/>
          <w:szCs w:val="18"/>
        </w:rPr>
        <w:t xml:space="preserve"> l’acquisto di servizi in generale (spese telefoniche, per il riscaldamento, per il servizio idrico, per la pulizia, per il servizio idrico, per la manutenzione e riparazione dei locali e degli impianti, spese legali, spese per la formazione del personale, per la sicurezza sul lavoro, spese per le prestazioni di natura contabile tributaria e del lavoro</w:t>
      </w:r>
      <w:r w:rsidR="002D1BE9">
        <w:rPr>
          <w:rFonts w:ascii="Trebuchet MS" w:hAnsi="Trebuchet MS"/>
          <w:color w:val="000000" w:themeColor="text1"/>
          <w:sz w:val="18"/>
          <w:szCs w:val="18"/>
        </w:rPr>
        <w:t>, spese per il servizio mensa</w:t>
      </w:r>
      <w:r w:rsidR="008452D2">
        <w:rPr>
          <w:rFonts w:ascii="Trebuchet MS" w:hAnsi="Trebuchet MS"/>
          <w:color w:val="000000" w:themeColor="text1"/>
          <w:sz w:val="18"/>
          <w:szCs w:val="18"/>
        </w:rPr>
        <w:t xml:space="preserve"> e</w:t>
      </w:r>
      <w:r w:rsidR="002D1BE9">
        <w:rPr>
          <w:rFonts w:ascii="Trebuchet MS" w:hAnsi="Trebuchet MS"/>
          <w:color w:val="000000" w:themeColor="text1"/>
          <w:sz w:val="18"/>
          <w:szCs w:val="18"/>
        </w:rPr>
        <w:t>cc..) nonché tutte le spese relative ai compensi alle indennità e ai rimborsi degli organi collegiali di amministrazione, del collegio dei revisori degli organi istituzionali e dell’O.I.V.</w:t>
      </w:r>
    </w:p>
    <w:p w14:paraId="423855D9" w14:textId="507C854C" w:rsidR="00596763" w:rsidRDefault="00596763" w:rsidP="002407AA">
      <w:pPr>
        <w:pStyle w:val="Paragrafoelenco"/>
        <w:numPr>
          <w:ilvl w:val="0"/>
          <w:numId w:val="29"/>
        </w:numPr>
        <w:spacing w:after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 xml:space="preserve">altre spese correnti: </w:t>
      </w:r>
      <w:r w:rsidR="008427E4">
        <w:rPr>
          <w:rFonts w:ascii="Trebuchet MS" w:hAnsi="Trebuchet MS"/>
          <w:color w:val="000000" w:themeColor="text1"/>
          <w:sz w:val="18"/>
          <w:szCs w:val="18"/>
        </w:rPr>
        <w:t>questa categoria di spese comprende spese per il servizio di tesoreria, versamenti iva a debito per la gestione commerciale, restituzione e rimborsi diversi, premi assicurativi, fondo crediti dubbia esigibilità, fondo di garanzia dei debiti commerciali</w:t>
      </w:r>
      <w:r w:rsidR="002A2156">
        <w:rPr>
          <w:rFonts w:ascii="Trebuchet MS" w:hAnsi="Trebuchet MS"/>
          <w:color w:val="000000" w:themeColor="text1"/>
          <w:sz w:val="18"/>
          <w:szCs w:val="18"/>
        </w:rPr>
        <w:t>, fondo di riserva ordinario;</w:t>
      </w:r>
    </w:p>
    <w:p w14:paraId="6F967EA4" w14:textId="1886EA9E" w:rsidR="002A2156" w:rsidRDefault="002A2156" w:rsidP="002407AA">
      <w:pPr>
        <w:pStyle w:val="Paragrafoelenco"/>
        <w:numPr>
          <w:ilvl w:val="0"/>
          <w:numId w:val="29"/>
        </w:numPr>
        <w:spacing w:after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>rimborsi e poste correttive delle entrate: sono costituite da rimborsi a famiglie per somme versate in eccesso e rimborsi per spese del personale;</w:t>
      </w:r>
    </w:p>
    <w:p w14:paraId="0AE3729D" w14:textId="2E746DFF" w:rsidR="002A2156" w:rsidRDefault="002A2156" w:rsidP="00486820">
      <w:pPr>
        <w:pStyle w:val="Paragrafoelenco"/>
        <w:numPr>
          <w:ilvl w:val="0"/>
          <w:numId w:val="29"/>
        </w:numPr>
        <w:spacing w:after="0"/>
        <w:rPr>
          <w:rFonts w:ascii="Trebuchet MS" w:hAnsi="Trebuchet MS"/>
          <w:color w:val="000000" w:themeColor="text1"/>
          <w:sz w:val="18"/>
          <w:szCs w:val="18"/>
        </w:rPr>
      </w:pPr>
      <w:r w:rsidRPr="008A667C">
        <w:rPr>
          <w:rFonts w:ascii="Trebuchet MS" w:hAnsi="Trebuchet MS"/>
          <w:color w:val="000000" w:themeColor="text1"/>
          <w:sz w:val="18"/>
          <w:szCs w:val="18"/>
        </w:rPr>
        <w:t>redditi da lavoro dipe</w:t>
      </w:r>
      <w:r w:rsidR="00B56840" w:rsidRPr="008A667C">
        <w:rPr>
          <w:rFonts w:ascii="Trebuchet MS" w:hAnsi="Trebuchet MS"/>
          <w:color w:val="000000" w:themeColor="text1"/>
          <w:sz w:val="18"/>
          <w:szCs w:val="18"/>
        </w:rPr>
        <w:t xml:space="preserve">ndente: riguardano in generale </w:t>
      </w:r>
      <w:r w:rsidR="008A667C" w:rsidRPr="008A667C">
        <w:rPr>
          <w:rFonts w:ascii="Trebuchet MS" w:hAnsi="Trebuchet MS"/>
          <w:color w:val="000000" w:themeColor="text1"/>
          <w:sz w:val="18"/>
          <w:szCs w:val="18"/>
        </w:rPr>
        <w:t xml:space="preserve">stipendi e </w:t>
      </w:r>
      <w:r w:rsidR="00B56840" w:rsidRPr="008A667C">
        <w:rPr>
          <w:rFonts w:ascii="Trebuchet MS" w:hAnsi="Trebuchet MS"/>
          <w:color w:val="000000" w:themeColor="text1"/>
          <w:sz w:val="18"/>
          <w:szCs w:val="18"/>
        </w:rPr>
        <w:t xml:space="preserve">salari e tutti gli oneri previdenziali e assistenziali del personale dipendente. Inoltre </w:t>
      </w:r>
      <w:r w:rsidR="008A667C">
        <w:rPr>
          <w:rFonts w:ascii="Trebuchet MS" w:hAnsi="Trebuchet MS"/>
          <w:color w:val="000000" w:themeColor="text1"/>
          <w:sz w:val="18"/>
          <w:szCs w:val="18"/>
        </w:rPr>
        <w:t>è ricompreso in tale categoria di spesa l’</w:t>
      </w:r>
      <w:r w:rsidR="008A667C" w:rsidRPr="008A667C">
        <w:rPr>
          <w:rFonts w:ascii="Trebuchet MS" w:hAnsi="Trebuchet MS"/>
          <w:color w:val="000000" w:themeColor="text1"/>
          <w:sz w:val="18"/>
          <w:szCs w:val="18"/>
        </w:rPr>
        <w:t>accantonamento per t.f.r. /buonuscita personale a</w:t>
      </w:r>
      <w:r w:rsidR="008A667C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r w:rsidR="008A667C" w:rsidRPr="008A667C">
        <w:rPr>
          <w:rFonts w:ascii="Trebuchet MS" w:hAnsi="Trebuchet MS"/>
          <w:color w:val="000000" w:themeColor="text1"/>
          <w:sz w:val="18"/>
          <w:szCs w:val="18"/>
        </w:rPr>
        <w:t>tempo indeterminato</w:t>
      </w:r>
      <w:r w:rsidR="008A667C">
        <w:rPr>
          <w:rFonts w:ascii="Trebuchet MS" w:hAnsi="Trebuchet MS"/>
          <w:color w:val="000000" w:themeColor="text1"/>
          <w:sz w:val="18"/>
          <w:szCs w:val="18"/>
        </w:rPr>
        <w:t>;</w:t>
      </w:r>
    </w:p>
    <w:p w14:paraId="43ACA55B" w14:textId="2F497C16" w:rsidR="008A667C" w:rsidRPr="008A667C" w:rsidRDefault="008A667C" w:rsidP="00486820">
      <w:pPr>
        <w:pStyle w:val="Paragrafoelenco"/>
        <w:numPr>
          <w:ilvl w:val="0"/>
          <w:numId w:val="29"/>
        </w:numPr>
        <w:spacing w:after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>trasferimenti correnti:</w:t>
      </w:r>
      <w:r w:rsidR="008735BF">
        <w:rPr>
          <w:rFonts w:ascii="Trebuchet MS" w:hAnsi="Trebuchet MS"/>
          <w:color w:val="000000" w:themeColor="text1"/>
          <w:sz w:val="18"/>
          <w:szCs w:val="18"/>
        </w:rPr>
        <w:t xml:space="preserve"> la voce ricomprende le borse di studio, i sussidi straordinari, i contributi alle spese per viaggi degli studenti, i contributi alloggi, i contributi per attività </w:t>
      </w:r>
      <w:r w:rsidR="006C5573">
        <w:rPr>
          <w:rFonts w:ascii="Trebuchet MS" w:hAnsi="Trebuchet MS"/>
          <w:color w:val="000000" w:themeColor="text1"/>
          <w:sz w:val="18"/>
          <w:szCs w:val="18"/>
        </w:rPr>
        <w:t>delle associazioni studentesche, per le attività culturali, teatrali e sportive e per progetti culturali e formativi.</w:t>
      </w:r>
    </w:p>
    <w:p w14:paraId="5DCFEF67" w14:textId="77777777" w:rsidR="001548A0" w:rsidRDefault="001548A0" w:rsidP="001548A0">
      <w:pPr>
        <w:pStyle w:val="Paragrafoelenco"/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64C555F5" w14:textId="77777777" w:rsidR="00836B96" w:rsidRDefault="00836B96" w:rsidP="005D5B6E">
      <w:pPr>
        <w:spacing w:after="0"/>
        <w:ind w:firstLine="0"/>
        <w:rPr>
          <w:rFonts w:ascii="Trebuchet MS" w:hAnsi="Trebuchet MS"/>
          <w:b/>
          <w:bCs/>
          <w:color w:val="000000" w:themeColor="text1"/>
          <w:sz w:val="18"/>
          <w:szCs w:val="18"/>
        </w:rPr>
      </w:pPr>
    </w:p>
    <w:p w14:paraId="27B475F0" w14:textId="19A83350" w:rsidR="001548A0" w:rsidRPr="005D5B6E" w:rsidRDefault="005D5B6E" w:rsidP="005D5B6E">
      <w:pPr>
        <w:spacing w:after="0"/>
        <w:ind w:firstLine="0"/>
        <w:rPr>
          <w:rFonts w:ascii="Trebuchet MS" w:hAnsi="Trebuchet MS"/>
          <w:b/>
          <w:bCs/>
          <w:color w:val="000000" w:themeColor="text1"/>
          <w:sz w:val="18"/>
          <w:szCs w:val="18"/>
        </w:rPr>
      </w:pPr>
      <w:r w:rsidRPr="005D5B6E">
        <w:rPr>
          <w:rFonts w:ascii="Trebuchet MS" w:hAnsi="Trebuchet MS"/>
          <w:b/>
          <w:bCs/>
          <w:color w:val="000000" w:themeColor="text1"/>
          <w:sz w:val="18"/>
          <w:szCs w:val="18"/>
        </w:rPr>
        <w:t>ANALISI DEI FONDI ACCANTONATI</w:t>
      </w:r>
    </w:p>
    <w:p w14:paraId="20535CD3" w14:textId="24669FE4" w:rsidR="001548A0" w:rsidRDefault="001548A0" w:rsidP="001271E1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1010ABF2" w14:textId="455F3102" w:rsidR="001271E1" w:rsidRDefault="00BC6F5F" w:rsidP="001271E1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>T</w:t>
      </w:r>
      <w:r w:rsidR="004B3375" w:rsidRPr="004B3375">
        <w:rPr>
          <w:rFonts w:ascii="Trebuchet MS" w:hAnsi="Trebuchet MS"/>
          <w:color w:val="000000" w:themeColor="text1"/>
          <w:sz w:val="18"/>
          <w:szCs w:val="18"/>
        </w:rPr>
        <w:t xml:space="preserve">enendo conto degli obblighi derivanti dal decreto legislativo 118/2011 </w:t>
      </w:r>
      <w:r w:rsidR="004B3375" w:rsidRPr="00606242">
        <w:rPr>
          <w:rFonts w:ascii="Trebuchet MS" w:hAnsi="Trebuchet MS"/>
          <w:color w:val="000000" w:themeColor="text1"/>
          <w:sz w:val="18"/>
          <w:szCs w:val="18"/>
        </w:rPr>
        <w:t xml:space="preserve">nonché di quanto previsto </w:t>
      </w:r>
      <w:r w:rsidR="004B3375" w:rsidRPr="00FC042D">
        <w:rPr>
          <w:rFonts w:ascii="Trebuchet MS" w:hAnsi="Trebuchet MS"/>
          <w:color w:val="000000" w:themeColor="text1"/>
          <w:sz w:val="18"/>
          <w:szCs w:val="18"/>
        </w:rPr>
        <w:t>all'art. 1</w:t>
      </w:r>
      <w:r w:rsidR="00FC042D" w:rsidRPr="00FC042D">
        <w:rPr>
          <w:rFonts w:ascii="Trebuchet MS" w:hAnsi="Trebuchet MS"/>
          <w:color w:val="000000" w:themeColor="text1"/>
          <w:sz w:val="18"/>
          <w:szCs w:val="18"/>
        </w:rPr>
        <w:t>3</w:t>
      </w:r>
      <w:r w:rsidR="004B3375" w:rsidRPr="00606242">
        <w:rPr>
          <w:rFonts w:ascii="Trebuchet MS" w:hAnsi="Trebuchet MS"/>
          <w:color w:val="000000" w:themeColor="text1"/>
          <w:sz w:val="18"/>
          <w:szCs w:val="18"/>
        </w:rPr>
        <w:t xml:space="preserve"> del Regolamento </w:t>
      </w:r>
      <w:r w:rsidR="00606242" w:rsidRPr="00606242">
        <w:rPr>
          <w:rFonts w:ascii="Trebuchet MS" w:hAnsi="Trebuchet MS"/>
          <w:color w:val="000000" w:themeColor="text1"/>
          <w:sz w:val="18"/>
          <w:szCs w:val="18"/>
        </w:rPr>
        <w:t xml:space="preserve">di contabilità </w:t>
      </w:r>
      <w:r w:rsidR="004B3375" w:rsidRPr="00606242">
        <w:rPr>
          <w:rFonts w:ascii="Trebuchet MS" w:hAnsi="Trebuchet MS"/>
          <w:color w:val="000000" w:themeColor="text1"/>
          <w:sz w:val="18"/>
          <w:szCs w:val="18"/>
        </w:rPr>
        <w:t>d</w:t>
      </w:r>
      <w:r w:rsidR="00606242" w:rsidRPr="00606242">
        <w:rPr>
          <w:rFonts w:ascii="Trebuchet MS" w:hAnsi="Trebuchet MS"/>
          <w:color w:val="000000" w:themeColor="text1"/>
          <w:sz w:val="18"/>
          <w:szCs w:val="18"/>
        </w:rPr>
        <w:t>e</w:t>
      </w:r>
      <w:r w:rsidR="004B3375" w:rsidRPr="00606242">
        <w:rPr>
          <w:rFonts w:ascii="Trebuchet MS" w:hAnsi="Trebuchet MS"/>
          <w:color w:val="000000" w:themeColor="text1"/>
          <w:sz w:val="18"/>
          <w:szCs w:val="18"/>
        </w:rPr>
        <w:t>ll'Ente</w:t>
      </w:r>
      <w:r w:rsidR="00606242" w:rsidRPr="00606242">
        <w:rPr>
          <w:rFonts w:ascii="Trebuchet MS" w:hAnsi="Trebuchet MS"/>
          <w:color w:val="000000" w:themeColor="text1"/>
          <w:sz w:val="18"/>
          <w:szCs w:val="18"/>
        </w:rPr>
        <w:t xml:space="preserve"> adottato e</w:t>
      </w:r>
      <w:r w:rsidR="004B3375" w:rsidRPr="00606242">
        <w:rPr>
          <w:rFonts w:ascii="Trebuchet MS" w:hAnsi="Trebuchet MS"/>
          <w:color w:val="000000" w:themeColor="text1"/>
          <w:sz w:val="18"/>
          <w:szCs w:val="18"/>
        </w:rPr>
        <w:t xml:space="preserve"> approvato con delibera </w:t>
      </w:r>
      <w:r w:rsidR="00606242" w:rsidRPr="00606242">
        <w:rPr>
          <w:rFonts w:ascii="Trebuchet MS" w:hAnsi="Trebuchet MS"/>
          <w:color w:val="000000" w:themeColor="text1"/>
          <w:sz w:val="18"/>
          <w:szCs w:val="18"/>
        </w:rPr>
        <w:t>n. 8 del 11/02/2020</w:t>
      </w:r>
      <w:r w:rsidR="00606242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r w:rsidR="004B3375" w:rsidRPr="004B3375">
        <w:rPr>
          <w:rFonts w:ascii="Trebuchet MS" w:hAnsi="Trebuchet MS"/>
          <w:color w:val="000000" w:themeColor="text1"/>
          <w:sz w:val="18"/>
          <w:szCs w:val="18"/>
        </w:rPr>
        <w:t xml:space="preserve">si </w:t>
      </w:r>
      <w:r w:rsidR="006F60DE">
        <w:rPr>
          <w:rFonts w:ascii="Trebuchet MS" w:hAnsi="Trebuchet MS"/>
          <w:color w:val="000000" w:themeColor="text1"/>
          <w:sz w:val="18"/>
          <w:szCs w:val="18"/>
        </w:rPr>
        <w:t>evidenziano</w:t>
      </w:r>
      <w:r w:rsidR="004B3375" w:rsidRPr="004B3375">
        <w:rPr>
          <w:rFonts w:ascii="Trebuchet MS" w:hAnsi="Trebuchet MS"/>
          <w:color w:val="000000" w:themeColor="text1"/>
          <w:sz w:val="18"/>
          <w:szCs w:val="18"/>
        </w:rPr>
        <w:t xml:space="preserve"> i</w:t>
      </w:r>
      <w:r w:rsidR="00AE1A94">
        <w:rPr>
          <w:rFonts w:ascii="Trebuchet MS" w:hAnsi="Trebuchet MS"/>
          <w:color w:val="000000" w:themeColor="text1"/>
          <w:sz w:val="18"/>
          <w:szCs w:val="18"/>
        </w:rPr>
        <w:t xml:space="preserve"> seguenti</w:t>
      </w:r>
      <w:r w:rsidR="004B3375" w:rsidRPr="004B3375">
        <w:rPr>
          <w:rFonts w:ascii="Trebuchet MS" w:hAnsi="Trebuchet MS"/>
          <w:color w:val="000000" w:themeColor="text1"/>
          <w:sz w:val="18"/>
          <w:szCs w:val="18"/>
        </w:rPr>
        <w:t xml:space="preserve"> accantonamenti</w:t>
      </w:r>
      <w:r w:rsidR="00AE1A94">
        <w:rPr>
          <w:rFonts w:ascii="Trebuchet MS" w:hAnsi="Trebuchet MS"/>
          <w:color w:val="000000" w:themeColor="text1"/>
          <w:sz w:val="18"/>
          <w:szCs w:val="18"/>
        </w:rPr>
        <w:t>:</w:t>
      </w:r>
    </w:p>
    <w:p w14:paraId="04D76D9C" w14:textId="57949EB0" w:rsidR="00AE1A94" w:rsidRDefault="00AE1A94" w:rsidP="001271E1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1E3BC4D2" w14:textId="59F78916" w:rsidR="00AE1A94" w:rsidRDefault="00AE1A94" w:rsidP="00497BEC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 xml:space="preserve">- </w:t>
      </w:r>
      <w:r w:rsidR="006F60DE">
        <w:rPr>
          <w:rFonts w:ascii="Trebuchet MS" w:hAnsi="Trebuchet MS"/>
          <w:color w:val="000000" w:themeColor="text1"/>
          <w:sz w:val="18"/>
          <w:szCs w:val="18"/>
        </w:rPr>
        <w:t xml:space="preserve">accantonamento al </w:t>
      </w:r>
      <w:r w:rsidRPr="00497BEC">
        <w:rPr>
          <w:rFonts w:ascii="Trebuchet MS" w:hAnsi="Trebuchet MS"/>
          <w:b/>
          <w:bCs/>
          <w:color w:val="000000" w:themeColor="text1"/>
          <w:sz w:val="18"/>
          <w:szCs w:val="18"/>
        </w:rPr>
        <w:t>fondo crediti di dubbia esigibilità</w:t>
      </w:r>
      <w:r w:rsidRPr="004B3375">
        <w:rPr>
          <w:rFonts w:ascii="Trebuchet MS" w:hAnsi="Trebuchet MS"/>
          <w:color w:val="000000" w:themeColor="text1"/>
          <w:sz w:val="18"/>
          <w:szCs w:val="18"/>
        </w:rPr>
        <w:t xml:space="preserve"> anno 2022 pari ad € 5.880,00 sul capitolo 1635 missione 20 per il quale è stato fornito apposito prospetto</w:t>
      </w:r>
      <w:r w:rsidR="006F60DE">
        <w:rPr>
          <w:rFonts w:ascii="Trebuchet MS" w:hAnsi="Trebuchet MS"/>
          <w:color w:val="000000" w:themeColor="text1"/>
          <w:sz w:val="18"/>
          <w:szCs w:val="18"/>
        </w:rPr>
        <w:t xml:space="preserve"> di dettaglio in nota integrativa</w:t>
      </w:r>
      <w:r>
        <w:rPr>
          <w:rFonts w:ascii="Trebuchet MS" w:hAnsi="Trebuchet MS"/>
          <w:color w:val="000000" w:themeColor="text1"/>
          <w:sz w:val="18"/>
          <w:szCs w:val="18"/>
        </w:rPr>
        <w:t>;</w:t>
      </w:r>
    </w:p>
    <w:p w14:paraId="085306A2" w14:textId="77777777" w:rsidR="006F60DE" w:rsidRDefault="006F60DE" w:rsidP="00497BEC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3B981DCF" w14:textId="7B3A1A4B" w:rsidR="00497BEC" w:rsidRDefault="00AE1A94" w:rsidP="00497BEC">
      <w:pPr>
        <w:pStyle w:val="Standard"/>
        <w:tabs>
          <w:tab w:val="left" w:pos="1423"/>
        </w:tabs>
        <w:jc w:val="both"/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</w:pPr>
      <w:r>
        <w:rPr>
          <w:rFonts w:ascii="Trebuchet MS" w:hAnsi="Trebuchet MS"/>
          <w:color w:val="000000" w:themeColor="text1"/>
          <w:sz w:val="18"/>
          <w:szCs w:val="18"/>
        </w:rPr>
        <w:t xml:space="preserve">- </w:t>
      </w:r>
      <w:r w:rsidR="006F60DE">
        <w:rPr>
          <w:rFonts w:ascii="Trebuchet MS" w:hAnsi="Trebuchet MS"/>
          <w:color w:val="000000" w:themeColor="text1"/>
          <w:sz w:val="18"/>
          <w:szCs w:val="18"/>
        </w:rPr>
        <w:t>accantonamento</w:t>
      </w:r>
      <w:r w:rsidR="006F60DE" w:rsidRPr="004B3375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r w:rsidR="006F60DE">
        <w:rPr>
          <w:rFonts w:ascii="Trebuchet MS" w:hAnsi="Trebuchet MS"/>
          <w:color w:val="000000" w:themeColor="text1"/>
          <w:sz w:val="18"/>
          <w:szCs w:val="18"/>
        </w:rPr>
        <w:t xml:space="preserve">al </w:t>
      </w:r>
      <w:r w:rsidR="006F60DE" w:rsidRPr="00497BEC">
        <w:rPr>
          <w:rFonts w:ascii="Trebuchet MS" w:hAnsi="Trebuchet MS"/>
          <w:b/>
          <w:bCs/>
          <w:color w:val="000000" w:themeColor="text1"/>
          <w:sz w:val="18"/>
          <w:szCs w:val="18"/>
        </w:rPr>
        <w:t>f</w:t>
      </w:r>
      <w:r w:rsidR="006F60DE" w:rsidRPr="00497BEC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>ondo di riserva</w:t>
      </w:r>
      <w:r w:rsidR="00DC32AD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>,</w:t>
      </w:r>
      <w:r w:rsidR="006F60DE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r w:rsidR="00497BEC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così come previsto all'art. 20 del predetto regolamento</w:t>
      </w:r>
      <w:r w:rsidR="00DC32A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,</w:t>
      </w:r>
      <w:r w:rsidR="00497BEC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per € 24.964,57, allocato </w:t>
      </w:r>
      <w:r w:rsidR="00DD4D60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erroneamente </w:t>
      </w:r>
      <w:r w:rsidR="00497BEC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sulla missione 1 e non sulla missione 20 </w:t>
      </w:r>
      <w:r w:rsidR="00834553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(fondi e accantonamenti) </w:t>
      </w:r>
      <w:r w:rsidR="00497BEC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come previsto </w:t>
      </w:r>
      <w:r w:rsidR="00DC32A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d</w:t>
      </w:r>
      <w:r w:rsidR="00497BEC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al precitato art.20.</w:t>
      </w:r>
      <w:r w:rsidR="00834553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</w:t>
      </w:r>
      <w:r w:rsidR="00497BEC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Tale fondo ai sensi del D.L</w:t>
      </w:r>
      <w:r w:rsidR="00DC32A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gs</w:t>
      </w:r>
      <w:r w:rsidR="00497BEC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118/2011 </w:t>
      </w:r>
      <w:r w:rsidR="006A2FC9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dovrebbe essere suddiviso sui Fondi per spese obbligatorie, per spese impreviste e per autorizzazioni di cassa</w:t>
      </w:r>
      <w:r w:rsid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. </w:t>
      </w:r>
      <w:r w:rsidR="00497BEC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Nulla viene </w:t>
      </w:r>
      <w:r w:rsidR="00DC32AD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specificato in</w:t>
      </w:r>
      <w:r w:rsidR="00497BEC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nota integrativa sulla mancata istituzione dei singoli fondi così come previst</w:t>
      </w:r>
      <w:r w:rsidR="00DC32AD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i</w:t>
      </w:r>
      <w:r w:rsidR="00497BEC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</w:t>
      </w:r>
      <w:r w:rsidR="006A2FC9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d</w:t>
      </w:r>
      <w:r w:rsidR="00497BEC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all'art. 20</w:t>
      </w:r>
      <w:r w:rsidR="00514AD2" w:rsidRPr="00015AC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;</w:t>
      </w:r>
      <w:r w:rsidR="005C589E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inoltre, la suddivisione sui singoli fondi risulta indispensabile per verificare la corretta applicazione delle percentuali di imputazione previste dalla normativa vigente</w:t>
      </w:r>
      <w:r w:rsidR="009968CB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per i singoli fondi; è comunque di tutta evidenza che la somma accantonata risulta conforme alle percentuali minime e massime previste;</w:t>
      </w:r>
    </w:p>
    <w:p w14:paraId="2DF5FAB8" w14:textId="50A03FCE" w:rsidR="00FC1FC7" w:rsidRDefault="00FC1FC7" w:rsidP="00497BEC">
      <w:pPr>
        <w:pStyle w:val="Standard"/>
        <w:tabs>
          <w:tab w:val="left" w:pos="1423"/>
        </w:tabs>
        <w:jc w:val="both"/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</w:pPr>
    </w:p>
    <w:p w14:paraId="2EBCAF4F" w14:textId="38969293" w:rsidR="00FC1FC7" w:rsidRDefault="00FC1FC7" w:rsidP="00AE048E">
      <w:pPr>
        <w:pStyle w:val="Standard"/>
        <w:tabs>
          <w:tab w:val="left" w:pos="1423"/>
        </w:tabs>
        <w:jc w:val="both"/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</w:pPr>
      <w:r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- accantonamento al </w:t>
      </w:r>
      <w:r w:rsidRPr="009F1B6B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 xml:space="preserve">fondo </w:t>
      </w:r>
      <w:r w:rsidR="00466A14" w:rsidRPr="009F1B6B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>di garanzia debiti commerciali</w:t>
      </w:r>
      <w:r w:rsid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allocato sulla missione 20 programma 3 per un importo di </w:t>
      </w:r>
      <w:r w:rsidR="00466A14" w:rsidRP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€ 4.943,57 nel 2022 e di € 2.891,50 nel 2023 e 2024</w:t>
      </w:r>
      <w:r w:rsid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. Si evidenzia che in nota integrativa l’Ente ha specificato i criteri per la </w:t>
      </w:r>
      <w:r w:rsidR="00466A14" w:rsidRP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formulazione degli stanziamenti riguardanti il fondo di garanzia debiti</w:t>
      </w:r>
      <w:r w:rsid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</w:t>
      </w:r>
      <w:r w:rsidR="00466A14" w:rsidRP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commerciali</w:t>
      </w:r>
      <w:r w:rsidR="00311D7F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,</w:t>
      </w:r>
      <w:r w:rsid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sottolineando la scelta di accantonare in via prudenziale la somma di cui sopra </w:t>
      </w:r>
      <w:r w:rsidR="00466A14" w:rsidRP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pur in presenza di un indice di tempestività dei pagamenti di positivo di 12 giorno</w:t>
      </w:r>
      <w:r w:rsidR="00466A14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;</w:t>
      </w:r>
    </w:p>
    <w:p w14:paraId="1FFF1BB3" w14:textId="18D6653E" w:rsidR="00514AD2" w:rsidRDefault="00514AD2" w:rsidP="00497BEC">
      <w:pPr>
        <w:pStyle w:val="Standard"/>
        <w:tabs>
          <w:tab w:val="left" w:pos="1423"/>
        </w:tabs>
        <w:jc w:val="both"/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</w:pPr>
    </w:p>
    <w:p w14:paraId="1ED79822" w14:textId="6A872B6C" w:rsidR="003A366D" w:rsidRPr="004B3375" w:rsidRDefault="00514AD2" w:rsidP="00411626">
      <w:pPr>
        <w:pStyle w:val="Standard"/>
        <w:tabs>
          <w:tab w:val="left" w:pos="1423"/>
        </w:tabs>
        <w:jc w:val="both"/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</w:pPr>
      <w:r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- </w:t>
      </w:r>
      <w:r w:rsidR="003A366D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accantonamenti previsti all'art. 22 del regolamento</w:t>
      </w:r>
      <w:r w:rsidR="00411626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di contabilità</w:t>
      </w:r>
      <w:r w:rsidR="003A366D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, più volte citato, per: </w:t>
      </w:r>
      <w:r w:rsidR="009F1B6B" w:rsidRPr="009F1B6B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 xml:space="preserve">fondo </w:t>
      </w:r>
      <w:r w:rsidR="003A366D" w:rsidRPr="009F1B6B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>TFR anno in corso</w:t>
      </w:r>
      <w:r w:rsidR="003A366D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al capitolo 1212</w:t>
      </w:r>
      <w:r w:rsidR="00236E5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.0</w:t>
      </w:r>
      <w:r w:rsidR="00E94848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per € 32.200,74 nel 2022 </w:t>
      </w:r>
      <w:r w:rsidR="00E94848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mentre</w:t>
      </w:r>
      <w:r w:rsidR="00E651BA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nulla è previsto per gli anni 2023 e 2024</w:t>
      </w:r>
      <w:r w:rsidR="003A366D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, </w:t>
      </w:r>
      <w:r w:rsidR="009F1B6B" w:rsidRPr="00825BDC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 xml:space="preserve">fondo </w:t>
      </w:r>
      <w:r w:rsidR="003A366D" w:rsidRPr="00825BDC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>rischi spese legali</w:t>
      </w:r>
      <w:r w:rsidR="003A366D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al capitolo 1149</w:t>
      </w:r>
      <w:r w:rsidR="00236E5D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.0</w:t>
      </w:r>
      <w:r w:rsidR="00E651BA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per € 5.000,00 nel 2022, € 2.500 nel 2023 e 2024</w:t>
      </w:r>
      <w:r w:rsidR="003A366D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, </w:t>
      </w:r>
      <w:r w:rsidR="00411626" w:rsidRPr="00825BDC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mentre per il </w:t>
      </w:r>
      <w:r w:rsidR="00411626" w:rsidRPr="00825BDC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 xml:space="preserve">fondo </w:t>
      </w:r>
      <w:r w:rsidR="003A366D" w:rsidRPr="00825BDC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>per i rinnovi contrattuali</w:t>
      </w:r>
      <w:r w:rsidR="003A366D" w:rsidRPr="009F1B6B">
        <w:rPr>
          <w:rFonts w:ascii="Trebuchet MS" w:hAnsi="Trebuchet MS"/>
          <w:b/>
          <w:bCs/>
          <w:color w:val="000000" w:themeColor="text1"/>
          <w:kern w:val="0"/>
          <w:sz w:val="18"/>
          <w:szCs w:val="18"/>
          <w:lang w:eastAsia="it-IT"/>
        </w:rPr>
        <w:t xml:space="preserve"> in corso</w:t>
      </w:r>
      <w:r w:rsidR="003A366D" w:rsidRPr="004B3375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non è stata accantonata alcuna somma ma nulla è stato rilevato sulla nota integrativa di accompagnamento.</w:t>
      </w:r>
    </w:p>
    <w:p w14:paraId="2ED88BDE" w14:textId="77777777" w:rsidR="009D2D93" w:rsidRDefault="00825BDC" w:rsidP="00FF6254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>L’Organo di controllo ha chiesto in merito delucidazioni all’Ing. Bonomo sia sul mancato accantonamento del fondo TFR per gli anni 2023 e 2024</w:t>
      </w:r>
      <w:r w:rsidR="00951C23">
        <w:rPr>
          <w:rFonts w:ascii="Trebuchet MS" w:hAnsi="Trebuchet MS"/>
          <w:color w:val="000000" w:themeColor="text1"/>
          <w:sz w:val="18"/>
          <w:szCs w:val="18"/>
        </w:rPr>
        <w:t>,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 sia sul mancato accantonamento del fondo per i rinnovi contrattuali</w:t>
      </w:r>
      <w:r w:rsidR="00951C23">
        <w:rPr>
          <w:rFonts w:ascii="Trebuchet MS" w:hAnsi="Trebuchet MS"/>
          <w:color w:val="000000" w:themeColor="text1"/>
          <w:sz w:val="18"/>
          <w:szCs w:val="18"/>
        </w:rPr>
        <w:t>. Viene chiarito che</w:t>
      </w:r>
      <w:r w:rsidR="009D2D93">
        <w:rPr>
          <w:rFonts w:ascii="Trebuchet MS" w:hAnsi="Trebuchet MS"/>
          <w:color w:val="000000" w:themeColor="text1"/>
          <w:sz w:val="18"/>
          <w:szCs w:val="18"/>
        </w:rPr>
        <w:t>:</w:t>
      </w:r>
    </w:p>
    <w:p w14:paraId="7931B413" w14:textId="15BB7BDA" w:rsidR="003A366D" w:rsidRDefault="009D2D93" w:rsidP="00FF6254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>- per quanto concerne il fondo TFR</w:t>
      </w:r>
      <w:r w:rsidR="00951C23">
        <w:rPr>
          <w:rFonts w:ascii="Trebuchet MS" w:hAnsi="Trebuchet MS"/>
          <w:color w:val="000000" w:themeColor="text1"/>
          <w:sz w:val="18"/>
          <w:szCs w:val="18"/>
        </w:rPr>
        <w:t xml:space="preserve"> non vengono accantonate somme per gli anni 2023 e 2024 poiché dette somme vengono richieste dall’Ente e trasferite dalla Regione S</w:t>
      </w:r>
      <w:r>
        <w:rPr>
          <w:rFonts w:ascii="Trebuchet MS" w:hAnsi="Trebuchet MS"/>
          <w:color w:val="000000" w:themeColor="text1"/>
          <w:sz w:val="18"/>
          <w:szCs w:val="18"/>
        </w:rPr>
        <w:t>i</w:t>
      </w:r>
      <w:r w:rsidR="00951C23">
        <w:rPr>
          <w:rFonts w:ascii="Trebuchet MS" w:hAnsi="Trebuchet MS"/>
          <w:color w:val="000000" w:themeColor="text1"/>
          <w:sz w:val="18"/>
          <w:szCs w:val="18"/>
        </w:rPr>
        <w:t xml:space="preserve">cilia </w:t>
      </w:r>
      <w:r>
        <w:rPr>
          <w:rFonts w:ascii="Trebuchet MS" w:hAnsi="Trebuchet MS"/>
          <w:color w:val="000000" w:themeColor="text1"/>
          <w:sz w:val="18"/>
          <w:szCs w:val="18"/>
        </w:rPr>
        <w:t>sulla base dei pensionamenti dell’anno;</w:t>
      </w:r>
    </w:p>
    <w:p w14:paraId="548B190F" w14:textId="0B756486" w:rsidR="009D2D93" w:rsidRPr="0049768D" w:rsidRDefault="009D2D93" w:rsidP="00FF6254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 xml:space="preserve">- per quanto riguarda il </w:t>
      </w:r>
      <w:r w:rsidRPr="0049768D">
        <w:rPr>
          <w:rFonts w:ascii="Trebuchet MS" w:hAnsi="Trebuchet MS"/>
          <w:color w:val="000000" w:themeColor="text1"/>
          <w:sz w:val="18"/>
          <w:szCs w:val="18"/>
        </w:rPr>
        <w:t xml:space="preserve">fondo per i rinnovi contrattuali in corso il mancato accantonamento nel triennio </w:t>
      </w:r>
      <w:r w:rsidR="0049768D" w:rsidRPr="0049768D">
        <w:rPr>
          <w:rFonts w:ascii="Trebuchet MS" w:hAnsi="Trebuchet MS"/>
          <w:color w:val="000000" w:themeColor="text1"/>
          <w:sz w:val="18"/>
          <w:szCs w:val="18"/>
        </w:rPr>
        <w:t>è giustificato dal fatto che la contrattazione collettiva è gestita direttamente dalla Regione Sicilia.</w:t>
      </w:r>
    </w:p>
    <w:p w14:paraId="1C59C5F1" w14:textId="77777777" w:rsidR="00CB4B91" w:rsidRPr="00A42154" w:rsidRDefault="00CB4B91" w:rsidP="00CB4B91">
      <w:pPr>
        <w:ind w:firstLine="0"/>
        <w:rPr>
          <w:rFonts w:ascii="Trebuchet MS" w:hAnsi="Trebuchet MS"/>
          <w:b/>
          <w:sz w:val="18"/>
          <w:szCs w:val="18"/>
        </w:rPr>
      </w:pPr>
    </w:p>
    <w:p w14:paraId="3B0B671F" w14:textId="77777777" w:rsidR="00CB4B91" w:rsidRPr="00A42154" w:rsidRDefault="00CB4B91" w:rsidP="00CB4B91">
      <w:pPr>
        <w:spacing w:after="0" w:line="360" w:lineRule="auto"/>
        <w:ind w:firstLine="0"/>
        <w:rPr>
          <w:rFonts w:ascii="Trebuchet MS" w:hAnsi="Trebuchet MS"/>
          <w:b/>
          <w:smallCaps/>
          <w:sz w:val="18"/>
          <w:szCs w:val="18"/>
        </w:rPr>
      </w:pPr>
      <w:r w:rsidRPr="00A42154">
        <w:rPr>
          <w:rFonts w:ascii="Trebuchet MS" w:hAnsi="Trebuchet MS"/>
          <w:b/>
          <w:smallCaps/>
          <w:sz w:val="18"/>
          <w:szCs w:val="18"/>
        </w:rPr>
        <w:t>SPESE IN CONTO CAPITALE</w:t>
      </w:r>
    </w:p>
    <w:p w14:paraId="3F7FEF6C" w14:textId="3959D313" w:rsidR="00CB4B91" w:rsidRDefault="00CB4B91" w:rsidP="00CB4B91">
      <w:pPr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 xml:space="preserve">Le spese in conto capitale, con il raffronto delle previsioni definitive dell’esercizio </w:t>
      </w:r>
      <w:r w:rsidR="00FB22DF">
        <w:rPr>
          <w:rFonts w:ascii="Trebuchet MS" w:hAnsi="Trebuchet MS"/>
          <w:sz w:val="18"/>
          <w:szCs w:val="18"/>
        </w:rPr>
        <w:t>2021</w:t>
      </w:r>
      <w:r w:rsidRPr="00A42154">
        <w:rPr>
          <w:rFonts w:ascii="Trebuchet MS" w:hAnsi="Trebuchet MS"/>
          <w:sz w:val="18"/>
          <w:szCs w:val="18"/>
        </w:rPr>
        <w:t xml:space="preserve">, sono così costituite: </w:t>
      </w:r>
    </w:p>
    <w:p w14:paraId="460362A8" w14:textId="0AECB04F" w:rsidR="00100ABB" w:rsidRDefault="00100ABB" w:rsidP="00CB4B91">
      <w:pPr>
        <w:ind w:firstLine="0"/>
        <w:rPr>
          <w:rFonts w:ascii="Trebuchet MS" w:hAnsi="Trebuchet MS"/>
          <w:sz w:val="18"/>
          <w:szCs w:val="18"/>
        </w:rPr>
      </w:pPr>
    </w:p>
    <w:p w14:paraId="3534820B" w14:textId="26635A02" w:rsidR="00100ABB" w:rsidRDefault="00100ABB" w:rsidP="00CB4B91">
      <w:pPr>
        <w:ind w:firstLine="0"/>
        <w:rPr>
          <w:rFonts w:ascii="Trebuchet MS" w:hAnsi="Trebuchet MS"/>
          <w:sz w:val="18"/>
          <w:szCs w:val="18"/>
        </w:rPr>
      </w:pPr>
      <w:r w:rsidRPr="00100ABB">
        <w:rPr>
          <w:noProof/>
        </w:rPr>
        <w:drawing>
          <wp:inline distT="0" distB="0" distL="0" distR="0" wp14:anchorId="08A6F729" wp14:editId="6D1596BA">
            <wp:extent cx="6253932" cy="843148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005" cy="8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21BA" w14:textId="090AABC6" w:rsidR="00100ABB" w:rsidRDefault="00100ABB" w:rsidP="00CB4B91">
      <w:pPr>
        <w:ind w:firstLine="0"/>
        <w:rPr>
          <w:rFonts w:ascii="Trebuchet MS" w:hAnsi="Trebuchet MS"/>
          <w:sz w:val="18"/>
          <w:szCs w:val="18"/>
        </w:rPr>
      </w:pPr>
    </w:p>
    <w:p w14:paraId="18295C82" w14:textId="77777777" w:rsidR="00CB4B91" w:rsidRPr="003356CD" w:rsidRDefault="00CB4B91" w:rsidP="003356CD">
      <w:pPr>
        <w:pStyle w:val="Standard"/>
        <w:tabs>
          <w:tab w:val="left" w:pos="1423"/>
        </w:tabs>
        <w:jc w:val="both"/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</w:pPr>
      <w:r w:rsidRPr="003356C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Analisi spese in conto capitale:</w:t>
      </w:r>
    </w:p>
    <w:p w14:paraId="0126C921" w14:textId="2033333F" w:rsidR="00C92955" w:rsidRPr="003356CD" w:rsidRDefault="003356CD" w:rsidP="003356CD">
      <w:pPr>
        <w:pStyle w:val="Standard"/>
        <w:numPr>
          <w:ilvl w:val="0"/>
          <w:numId w:val="30"/>
        </w:numPr>
        <w:tabs>
          <w:tab w:val="left" w:pos="1423"/>
        </w:tabs>
        <w:jc w:val="both"/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</w:pPr>
      <w:r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l</w:t>
      </w:r>
      <w:r w:rsidR="00CB4B91" w:rsidRPr="003356C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e spese per investimenti</w:t>
      </w:r>
      <w:r w:rsidR="00B342DF" w:rsidRPr="003356C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per € 22.500,00 riguardano l’acquisto di beni, quali arredi vari per residenza universitaria, mobili per uffici e acquisto server, pc e periferiche, stampanti e scanner, macchine elettroniche</w:t>
      </w:r>
      <w:r w:rsidR="00CB4B91" w:rsidRPr="003356C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>;</w:t>
      </w:r>
      <w:r w:rsidR="00A63070" w:rsidRPr="003356CD">
        <w:rPr>
          <w:rFonts w:ascii="Trebuchet MS" w:hAnsi="Trebuchet MS"/>
          <w:color w:val="000000" w:themeColor="text1"/>
          <w:kern w:val="0"/>
          <w:sz w:val="18"/>
          <w:szCs w:val="18"/>
          <w:lang w:eastAsia="it-IT"/>
        </w:rPr>
        <w:t xml:space="preserve"> </w:t>
      </w:r>
    </w:p>
    <w:p w14:paraId="3667527B" w14:textId="77777777" w:rsidR="007710AD" w:rsidRDefault="007710AD" w:rsidP="00CB4B91">
      <w:pPr>
        <w:spacing w:after="0"/>
        <w:ind w:firstLine="0"/>
        <w:rPr>
          <w:rFonts w:ascii="Trebuchet MS" w:hAnsi="Trebuchet MS"/>
          <w:b/>
          <w:szCs w:val="22"/>
        </w:rPr>
      </w:pPr>
    </w:p>
    <w:p w14:paraId="34D3FC32" w14:textId="77777777" w:rsidR="00687E60" w:rsidRDefault="00687E60" w:rsidP="00687E60">
      <w:pPr>
        <w:spacing w:after="0"/>
        <w:ind w:firstLine="0"/>
        <w:jc w:val="center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t xml:space="preserve">LA NOTA INTEGRATIVA </w:t>
      </w:r>
    </w:p>
    <w:p w14:paraId="437ED6E4" w14:textId="77777777" w:rsidR="00687E60" w:rsidRDefault="00687E60" w:rsidP="00687E60">
      <w:pPr>
        <w:spacing w:after="0"/>
        <w:ind w:firstLine="0"/>
        <w:jc w:val="center"/>
        <w:rPr>
          <w:rFonts w:ascii="Trebuchet MS" w:hAnsi="Trebuchet MS"/>
          <w:b/>
          <w:szCs w:val="22"/>
        </w:rPr>
      </w:pPr>
    </w:p>
    <w:p w14:paraId="7406C2AA" w14:textId="27EC6AA7" w:rsidR="00687E60" w:rsidRDefault="00687E60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 w:rsidRPr="00687E60">
        <w:rPr>
          <w:rFonts w:ascii="Trebuchet MS" w:hAnsi="Trebuchet MS"/>
          <w:sz w:val="18"/>
          <w:szCs w:val="18"/>
        </w:rPr>
        <w:t>La nota inte</w:t>
      </w:r>
      <w:r>
        <w:rPr>
          <w:rFonts w:ascii="Trebuchet MS" w:hAnsi="Trebuchet MS"/>
          <w:sz w:val="18"/>
          <w:szCs w:val="18"/>
        </w:rPr>
        <w:t>g</w:t>
      </w:r>
      <w:r w:rsidRPr="00687E60">
        <w:rPr>
          <w:rFonts w:ascii="Trebuchet MS" w:hAnsi="Trebuchet MS"/>
          <w:sz w:val="18"/>
          <w:szCs w:val="18"/>
        </w:rPr>
        <w:t>rativa allegata al bilancio di previs</w:t>
      </w:r>
      <w:r>
        <w:rPr>
          <w:rFonts w:ascii="Trebuchet MS" w:hAnsi="Trebuchet MS"/>
          <w:sz w:val="18"/>
          <w:szCs w:val="18"/>
        </w:rPr>
        <w:t>i</w:t>
      </w:r>
      <w:r w:rsidRPr="00687E60">
        <w:rPr>
          <w:rFonts w:ascii="Trebuchet MS" w:hAnsi="Trebuchet MS"/>
          <w:sz w:val="18"/>
          <w:szCs w:val="18"/>
        </w:rPr>
        <w:t>one indica le s</w:t>
      </w:r>
      <w:r>
        <w:rPr>
          <w:rFonts w:ascii="Trebuchet MS" w:hAnsi="Trebuchet MS"/>
          <w:sz w:val="18"/>
          <w:szCs w:val="18"/>
        </w:rPr>
        <w:t>e</w:t>
      </w:r>
      <w:r w:rsidRPr="00687E60">
        <w:rPr>
          <w:rFonts w:ascii="Trebuchet MS" w:hAnsi="Trebuchet MS"/>
          <w:sz w:val="18"/>
          <w:szCs w:val="18"/>
        </w:rPr>
        <w:t>guenti informazioni</w:t>
      </w:r>
      <w:r>
        <w:rPr>
          <w:rFonts w:ascii="Trebuchet MS" w:hAnsi="Trebuchet MS"/>
          <w:sz w:val="18"/>
          <w:szCs w:val="18"/>
        </w:rPr>
        <w:t>:</w:t>
      </w:r>
    </w:p>
    <w:p w14:paraId="33C4631C" w14:textId="101AE5DE" w:rsidR="00EF77C9" w:rsidRDefault="00EF77C9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72F12E11" w14:textId="6B108418" w:rsidR="00EF77C9" w:rsidRDefault="00EF77C9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- </w:t>
      </w:r>
      <w:r w:rsidR="00260A8F">
        <w:rPr>
          <w:rFonts w:ascii="Trebuchet MS" w:hAnsi="Trebuchet MS"/>
          <w:sz w:val="18"/>
          <w:szCs w:val="18"/>
        </w:rPr>
        <w:t>i criteri di valutazione adottati per la formulazione delle previsioni delle principali poste in entrata e delle principali poste di spesa;</w:t>
      </w:r>
    </w:p>
    <w:p w14:paraId="73A87863" w14:textId="45792FCC" w:rsidR="00260A8F" w:rsidRDefault="00260A8F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- i c</w:t>
      </w:r>
      <w:r w:rsidRPr="00260A8F">
        <w:rPr>
          <w:rFonts w:ascii="Trebuchet MS" w:hAnsi="Trebuchet MS"/>
          <w:sz w:val="18"/>
          <w:szCs w:val="18"/>
        </w:rPr>
        <w:t>riteri per la formulazione degli stanziamenti riguardanti il fondo crediti di dubbia esigibilit</w:t>
      </w:r>
      <w:r w:rsidRPr="00260A8F">
        <w:rPr>
          <w:rFonts w:ascii="Trebuchet MS" w:hAnsi="Trebuchet MS" w:hint="eastAsia"/>
          <w:sz w:val="18"/>
          <w:szCs w:val="18"/>
        </w:rPr>
        <w:t>à</w:t>
      </w:r>
      <w:r w:rsidR="009737E3">
        <w:rPr>
          <w:rFonts w:ascii="Trebuchet MS" w:hAnsi="Trebuchet MS"/>
          <w:sz w:val="18"/>
          <w:szCs w:val="18"/>
        </w:rPr>
        <w:t xml:space="preserve"> e la composizione del FCDE informazione contenuta nel relativo prospetto;</w:t>
      </w:r>
    </w:p>
    <w:p w14:paraId="552B6FF6" w14:textId="74E71D3D" w:rsidR="009737E3" w:rsidRDefault="009737E3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- l’elenco delle spese impreviste finanziabili con </w:t>
      </w:r>
      <w:r w:rsidRPr="009737E3">
        <w:rPr>
          <w:rFonts w:ascii="Trebuchet MS" w:hAnsi="Trebuchet MS"/>
          <w:sz w:val="18"/>
          <w:szCs w:val="18"/>
        </w:rPr>
        <w:t>il fondo di riserva</w:t>
      </w:r>
      <w:r>
        <w:rPr>
          <w:rFonts w:ascii="Trebuchet MS" w:hAnsi="Trebuchet MS"/>
          <w:sz w:val="18"/>
          <w:szCs w:val="18"/>
        </w:rPr>
        <w:t>;</w:t>
      </w:r>
    </w:p>
    <w:p w14:paraId="6159A5B8" w14:textId="4CD586AC" w:rsidR="009737E3" w:rsidRDefault="009737E3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- i c</w:t>
      </w:r>
      <w:r w:rsidRPr="009737E3">
        <w:rPr>
          <w:rFonts w:ascii="Trebuchet MS" w:hAnsi="Trebuchet MS"/>
          <w:sz w:val="18"/>
          <w:szCs w:val="18"/>
        </w:rPr>
        <w:t>riteri per la formulazione dell</w:t>
      </w:r>
      <w:r w:rsidRPr="009737E3">
        <w:rPr>
          <w:rFonts w:ascii="Trebuchet MS" w:hAnsi="Trebuchet MS" w:hint="eastAsia"/>
          <w:sz w:val="18"/>
          <w:szCs w:val="18"/>
        </w:rPr>
        <w:t>’</w:t>
      </w:r>
      <w:r w:rsidRPr="009737E3">
        <w:rPr>
          <w:rFonts w:ascii="Trebuchet MS" w:hAnsi="Trebuchet MS"/>
          <w:sz w:val="18"/>
          <w:szCs w:val="18"/>
        </w:rPr>
        <w:t>elenco delle spese obbligatorie</w:t>
      </w:r>
      <w:r>
        <w:rPr>
          <w:rFonts w:ascii="Trebuchet MS" w:hAnsi="Trebuchet MS"/>
          <w:sz w:val="18"/>
          <w:szCs w:val="18"/>
        </w:rPr>
        <w:t>;</w:t>
      </w:r>
    </w:p>
    <w:p w14:paraId="369C42DC" w14:textId="3DD78EA3" w:rsidR="009737E3" w:rsidRDefault="009737E3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- i c</w:t>
      </w:r>
      <w:r w:rsidRPr="009737E3">
        <w:rPr>
          <w:rFonts w:ascii="Trebuchet MS" w:hAnsi="Trebuchet MS"/>
          <w:sz w:val="18"/>
          <w:szCs w:val="18"/>
        </w:rPr>
        <w:t>riteri per la formulazione degli stanziamenti riguardanti il fondo di garanzia debiti</w:t>
      </w:r>
      <w:r>
        <w:rPr>
          <w:rFonts w:ascii="Trebuchet MS" w:hAnsi="Trebuchet MS"/>
          <w:sz w:val="18"/>
          <w:szCs w:val="18"/>
        </w:rPr>
        <w:t xml:space="preserve"> </w:t>
      </w:r>
      <w:r w:rsidRPr="009737E3">
        <w:rPr>
          <w:rFonts w:ascii="Trebuchet MS" w:hAnsi="Trebuchet MS"/>
          <w:sz w:val="18"/>
          <w:szCs w:val="18"/>
        </w:rPr>
        <w:t>commerciali</w:t>
      </w:r>
      <w:r>
        <w:rPr>
          <w:rFonts w:ascii="Trebuchet MS" w:hAnsi="Trebuchet MS"/>
          <w:sz w:val="18"/>
          <w:szCs w:val="18"/>
        </w:rPr>
        <w:t>;</w:t>
      </w:r>
    </w:p>
    <w:p w14:paraId="1187CBAC" w14:textId="473251FB" w:rsidR="009737E3" w:rsidRDefault="009737E3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-</w:t>
      </w:r>
      <w:r w:rsidR="00282392">
        <w:rPr>
          <w:rFonts w:ascii="Trebuchet MS" w:hAnsi="Trebuchet MS"/>
          <w:sz w:val="18"/>
          <w:szCs w:val="18"/>
        </w:rPr>
        <w:t xml:space="preserve"> il risultato di amministrazione presunto al 31 dicembre dell’esercizio precedente e</w:t>
      </w:r>
      <w:r w:rsidR="00C32539">
        <w:rPr>
          <w:rFonts w:ascii="Trebuchet MS" w:hAnsi="Trebuchet MS"/>
          <w:sz w:val="18"/>
          <w:szCs w:val="18"/>
        </w:rPr>
        <w:t xml:space="preserve"> l’elenco analitico delle quote accantonate, vincolate e libere e relativo utilizzo</w:t>
      </w:r>
      <w:r w:rsidR="00282392">
        <w:rPr>
          <w:rFonts w:ascii="Trebuchet MS" w:hAnsi="Trebuchet MS"/>
          <w:sz w:val="18"/>
          <w:szCs w:val="18"/>
        </w:rPr>
        <w:t>;</w:t>
      </w:r>
    </w:p>
    <w:p w14:paraId="7E1C72B7" w14:textId="325B0EDD" w:rsidR="00282392" w:rsidRDefault="00282392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- la disaggregazione </w:t>
      </w:r>
      <w:r w:rsidRPr="00282392">
        <w:rPr>
          <w:rFonts w:ascii="Trebuchet MS" w:hAnsi="Trebuchet MS"/>
          <w:sz w:val="18"/>
          <w:szCs w:val="18"/>
        </w:rPr>
        <w:t>delle spese del personale per missioni e programmi</w:t>
      </w:r>
      <w:r>
        <w:rPr>
          <w:rFonts w:ascii="Trebuchet MS" w:hAnsi="Trebuchet MS"/>
          <w:sz w:val="18"/>
          <w:szCs w:val="18"/>
        </w:rPr>
        <w:t>;</w:t>
      </w:r>
    </w:p>
    <w:p w14:paraId="6A560176" w14:textId="1C854D4A" w:rsidR="00282392" w:rsidRDefault="00282392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- gli equilibri di bilancio</w:t>
      </w:r>
      <w:r w:rsidR="00D56169">
        <w:rPr>
          <w:rFonts w:ascii="Trebuchet MS" w:hAnsi="Trebuchet MS"/>
          <w:sz w:val="18"/>
          <w:szCs w:val="18"/>
        </w:rPr>
        <w:t>.</w:t>
      </w:r>
    </w:p>
    <w:p w14:paraId="5D91C3C8" w14:textId="3C10B69C" w:rsidR="00EF77C9" w:rsidRDefault="00EF77C9" w:rsidP="00687E60">
      <w:pPr>
        <w:spacing w:after="0"/>
        <w:ind w:firstLine="0"/>
        <w:jc w:val="left"/>
        <w:rPr>
          <w:rFonts w:ascii="Trebuchet MS" w:hAnsi="Trebuchet MS"/>
          <w:sz w:val="18"/>
          <w:szCs w:val="18"/>
        </w:rPr>
      </w:pPr>
    </w:p>
    <w:p w14:paraId="683A482D" w14:textId="1EEFC775" w:rsidR="00EF77C9" w:rsidRDefault="00EF77C9" w:rsidP="00687E60">
      <w:pPr>
        <w:spacing w:after="0"/>
        <w:ind w:firstLine="0"/>
        <w:jc w:val="left"/>
        <w:rPr>
          <w:rFonts w:ascii="Trebuchet MS" w:hAnsi="Trebuchet MS"/>
          <w:sz w:val="18"/>
          <w:szCs w:val="18"/>
        </w:rPr>
      </w:pPr>
    </w:p>
    <w:p w14:paraId="0170A44A" w14:textId="77777777" w:rsidR="00CB4B91" w:rsidRPr="00FB55BF" w:rsidRDefault="00CB4B91" w:rsidP="00CB4B91">
      <w:pPr>
        <w:spacing w:after="0"/>
        <w:ind w:firstLine="0"/>
        <w:rPr>
          <w:rFonts w:ascii="Trebuchet MS" w:hAnsi="Trebuchet MS"/>
          <w:b/>
          <w:szCs w:val="22"/>
        </w:rPr>
      </w:pPr>
      <w:r w:rsidRPr="00FB55BF">
        <w:rPr>
          <w:rFonts w:ascii="Trebuchet MS" w:hAnsi="Trebuchet MS"/>
          <w:b/>
          <w:szCs w:val="22"/>
        </w:rPr>
        <w:t>RISPETTO DELLE NORME DI CONTENIMENTO DELLA SPESA PUBBLICA</w:t>
      </w:r>
    </w:p>
    <w:p w14:paraId="595B60AE" w14:textId="77777777" w:rsidR="00CB4B91" w:rsidRPr="00A42154" w:rsidRDefault="00CB4B91" w:rsidP="00CB4B91">
      <w:pPr>
        <w:spacing w:after="0"/>
        <w:ind w:firstLine="0"/>
        <w:rPr>
          <w:rFonts w:ascii="Trebuchet MS" w:hAnsi="Trebuchet MS"/>
          <w:b/>
          <w:sz w:val="18"/>
          <w:szCs w:val="18"/>
        </w:rPr>
      </w:pPr>
    </w:p>
    <w:p w14:paraId="34A0550D" w14:textId="6B7144D8" w:rsidR="002C5CFB" w:rsidRDefault="0052250B" w:rsidP="0052250B">
      <w:pPr>
        <w:spacing w:after="0"/>
        <w:ind w:firstLine="0"/>
        <w:rPr>
          <w:rFonts w:ascii="Trebuchet MS" w:hAnsi="Trebuchet MS"/>
          <w:sz w:val="18"/>
          <w:szCs w:val="18"/>
        </w:rPr>
      </w:pPr>
      <w:r w:rsidRPr="0052250B">
        <w:rPr>
          <w:rFonts w:ascii="Trebuchet MS" w:hAnsi="Trebuchet MS"/>
          <w:sz w:val="18"/>
          <w:szCs w:val="18"/>
        </w:rPr>
        <w:t>L’Ente</w:t>
      </w:r>
      <w:r>
        <w:rPr>
          <w:rFonts w:ascii="Trebuchet MS" w:hAnsi="Trebuchet MS"/>
          <w:sz w:val="18"/>
          <w:szCs w:val="18"/>
        </w:rPr>
        <w:t>,</w:t>
      </w:r>
      <w:r w:rsidRPr="0052250B">
        <w:rPr>
          <w:rFonts w:ascii="Trebuchet MS" w:hAnsi="Trebuchet MS"/>
          <w:sz w:val="18"/>
          <w:szCs w:val="18"/>
        </w:rPr>
        <w:t xml:space="preserve"> in ottemperanza alle disposizioni di cui alla a Circolare n.10 del 28/06/2021 del Dipartimento Regionale Bilancio e Tesoro </w:t>
      </w:r>
      <w:r w:rsidRPr="0052250B">
        <w:rPr>
          <w:rFonts w:ascii="Trebuchet MS" w:hAnsi="Trebuchet MS" w:hint="eastAsia"/>
          <w:sz w:val="18"/>
          <w:szCs w:val="18"/>
        </w:rPr>
        <w:t>–</w:t>
      </w:r>
      <w:r w:rsidRPr="0052250B">
        <w:rPr>
          <w:rFonts w:ascii="Trebuchet MS" w:hAnsi="Trebuchet MS"/>
          <w:sz w:val="18"/>
          <w:szCs w:val="18"/>
        </w:rPr>
        <w:t xml:space="preserve"> Ragioneria Generale della Regione </w:t>
      </w:r>
      <w:r w:rsidRPr="0052250B">
        <w:rPr>
          <w:rFonts w:ascii="Trebuchet MS" w:hAnsi="Trebuchet MS" w:hint="eastAsia"/>
          <w:sz w:val="18"/>
          <w:szCs w:val="18"/>
        </w:rPr>
        <w:t>–</w:t>
      </w:r>
      <w:r w:rsidRPr="0052250B">
        <w:rPr>
          <w:rFonts w:ascii="Trebuchet MS" w:hAnsi="Trebuchet MS"/>
          <w:sz w:val="18"/>
          <w:szCs w:val="18"/>
        </w:rPr>
        <w:t xml:space="preserve"> Servizio 3 Vigilanza </w:t>
      </w:r>
      <w:r w:rsidRPr="0052250B">
        <w:rPr>
          <w:rFonts w:ascii="Trebuchet MS" w:hAnsi="Trebuchet MS" w:hint="eastAsia"/>
          <w:sz w:val="18"/>
          <w:szCs w:val="18"/>
        </w:rPr>
        <w:t>–</w:t>
      </w:r>
      <w:r w:rsidRPr="0052250B">
        <w:rPr>
          <w:rFonts w:ascii="Trebuchet MS" w:hAnsi="Trebuchet MS"/>
          <w:sz w:val="18"/>
          <w:szCs w:val="18"/>
        </w:rPr>
        <w:t xml:space="preserve"> U.O.B. 3.3 </w:t>
      </w:r>
      <w:r w:rsidRPr="0052250B">
        <w:rPr>
          <w:rFonts w:ascii="Trebuchet MS" w:hAnsi="Trebuchet MS" w:hint="eastAsia"/>
          <w:sz w:val="18"/>
          <w:szCs w:val="18"/>
        </w:rPr>
        <w:t>“</w:t>
      </w:r>
      <w:r w:rsidRPr="0052250B">
        <w:rPr>
          <w:rFonts w:ascii="Trebuchet MS" w:hAnsi="Trebuchet MS"/>
          <w:sz w:val="18"/>
          <w:szCs w:val="18"/>
        </w:rPr>
        <w:t>Controllo Spesa Pubblica Enti Regionali</w:t>
      </w:r>
      <w:r w:rsidRPr="0052250B">
        <w:rPr>
          <w:rFonts w:ascii="Trebuchet MS" w:hAnsi="Trebuchet MS" w:hint="eastAsia"/>
          <w:sz w:val="18"/>
          <w:szCs w:val="18"/>
        </w:rPr>
        <w:t>”</w:t>
      </w:r>
      <w:r>
        <w:rPr>
          <w:rFonts w:ascii="Trebuchet MS" w:hAnsi="Trebuchet MS"/>
          <w:sz w:val="18"/>
          <w:szCs w:val="18"/>
        </w:rPr>
        <w:t xml:space="preserve">, ha elaborato 16 schede allegate alla suindicata circolare </w:t>
      </w:r>
      <w:r w:rsidRPr="0052250B">
        <w:rPr>
          <w:rFonts w:ascii="Trebuchet MS" w:hAnsi="Trebuchet MS"/>
          <w:sz w:val="18"/>
          <w:szCs w:val="18"/>
        </w:rPr>
        <w:t>al fine di agevolare la verifica dei vincoli della spesa, imposti per l</w:t>
      </w:r>
      <w:r w:rsidRPr="0052250B">
        <w:rPr>
          <w:rFonts w:ascii="Trebuchet MS" w:hAnsi="Trebuchet MS" w:hint="eastAsia"/>
          <w:sz w:val="18"/>
          <w:szCs w:val="18"/>
        </w:rPr>
        <w:t>’</w:t>
      </w:r>
      <w:r w:rsidRPr="0052250B">
        <w:rPr>
          <w:rFonts w:ascii="Trebuchet MS" w:hAnsi="Trebuchet MS"/>
          <w:sz w:val="18"/>
          <w:szCs w:val="18"/>
        </w:rPr>
        <w:t>esercizio dell</w:t>
      </w:r>
      <w:r w:rsidRPr="0052250B">
        <w:rPr>
          <w:rFonts w:ascii="Trebuchet MS" w:hAnsi="Trebuchet MS" w:hint="eastAsia"/>
          <w:sz w:val="18"/>
          <w:szCs w:val="18"/>
        </w:rPr>
        <w:t>’</w:t>
      </w:r>
      <w:r w:rsidRPr="0052250B">
        <w:rPr>
          <w:rFonts w:ascii="Trebuchet MS" w:hAnsi="Trebuchet MS"/>
          <w:sz w:val="18"/>
          <w:szCs w:val="18"/>
        </w:rPr>
        <w:t>anno 2021, anche</w:t>
      </w:r>
      <w:r>
        <w:rPr>
          <w:rFonts w:ascii="Trebuchet MS" w:hAnsi="Trebuchet MS"/>
          <w:sz w:val="18"/>
          <w:szCs w:val="18"/>
        </w:rPr>
        <w:t xml:space="preserve"> </w:t>
      </w:r>
      <w:r w:rsidRPr="0052250B">
        <w:rPr>
          <w:rFonts w:ascii="Trebuchet MS" w:hAnsi="Trebuchet MS"/>
          <w:sz w:val="18"/>
          <w:szCs w:val="18"/>
        </w:rPr>
        <w:t xml:space="preserve">agli Enti ed agli </w:t>
      </w:r>
      <w:r>
        <w:rPr>
          <w:rFonts w:ascii="Trebuchet MS" w:hAnsi="Trebuchet MS"/>
          <w:sz w:val="18"/>
          <w:szCs w:val="18"/>
        </w:rPr>
        <w:t>O</w:t>
      </w:r>
      <w:r w:rsidRPr="0052250B">
        <w:rPr>
          <w:rFonts w:ascii="Trebuchet MS" w:hAnsi="Trebuchet MS"/>
          <w:sz w:val="18"/>
          <w:szCs w:val="18"/>
        </w:rPr>
        <w:t>rganismi regionali</w:t>
      </w:r>
      <w:r>
        <w:rPr>
          <w:rFonts w:ascii="Trebuchet MS" w:hAnsi="Trebuchet MS"/>
          <w:sz w:val="18"/>
          <w:szCs w:val="18"/>
        </w:rPr>
        <w:t>.</w:t>
      </w:r>
      <w:r w:rsidR="008A242F">
        <w:rPr>
          <w:rFonts w:ascii="Trebuchet MS" w:hAnsi="Trebuchet MS"/>
          <w:sz w:val="18"/>
          <w:szCs w:val="18"/>
        </w:rPr>
        <w:t xml:space="preserve"> Invero, c’è da evidenziare</w:t>
      </w:r>
      <w:r w:rsidR="00C155E4">
        <w:rPr>
          <w:rFonts w:ascii="Trebuchet MS" w:hAnsi="Trebuchet MS"/>
          <w:sz w:val="18"/>
          <w:szCs w:val="18"/>
        </w:rPr>
        <w:t xml:space="preserve"> che tali schede non erano state trasmesse dall’Ente al Servizio di vigilanza della Ragioneri</w:t>
      </w:r>
      <w:r w:rsidR="002C5CFB">
        <w:rPr>
          <w:rFonts w:ascii="Trebuchet MS" w:hAnsi="Trebuchet MS"/>
          <w:sz w:val="18"/>
          <w:szCs w:val="18"/>
        </w:rPr>
        <w:t>a</w:t>
      </w:r>
      <w:r w:rsidR="00C155E4">
        <w:rPr>
          <w:rFonts w:ascii="Trebuchet MS" w:hAnsi="Trebuchet MS"/>
          <w:sz w:val="18"/>
          <w:szCs w:val="18"/>
        </w:rPr>
        <w:t xml:space="preserve"> Generale della Region</w:t>
      </w:r>
      <w:r w:rsidR="002C5CFB">
        <w:rPr>
          <w:rFonts w:ascii="Trebuchet MS" w:hAnsi="Trebuchet MS"/>
          <w:sz w:val="18"/>
          <w:szCs w:val="18"/>
        </w:rPr>
        <w:t xml:space="preserve">e </w:t>
      </w:r>
      <w:r w:rsidR="00C155E4">
        <w:rPr>
          <w:rFonts w:ascii="Trebuchet MS" w:hAnsi="Trebuchet MS"/>
          <w:sz w:val="18"/>
          <w:szCs w:val="18"/>
        </w:rPr>
        <w:t xml:space="preserve">Sicilia entro la scadenza prevista del 30/09/2021. </w:t>
      </w:r>
      <w:r w:rsidR="002C5CFB">
        <w:rPr>
          <w:rFonts w:ascii="Trebuchet MS" w:hAnsi="Trebuchet MS"/>
          <w:sz w:val="18"/>
          <w:szCs w:val="18"/>
        </w:rPr>
        <w:t xml:space="preserve">Successivamente l’Ente ha però adempiuto alla diffida ad adempiere entro il termine del 31/01/2022. </w:t>
      </w:r>
    </w:p>
    <w:p w14:paraId="23E85082" w14:textId="4F24B33A" w:rsidR="002A1A4E" w:rsidRDefault="0052250B" w:rsidP="0052250B">
      <w:pPr>
        <w:spacing w:after="0"/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Il Collegio dei revisori dei conti</w:t>
      </w:r>
      <w:r w:rsidR="002C5CFB">
        <w:rPr>
          <w:rFonts w:ascii="Trebuchet MS" w:hAnsi="Trebuchet MS"/>
          <w:sz w:val="18"/>
          <w:szCs w:val="18"/>
        </w:rPr>
        <w:t xml:space="preserve"> </w:t>
      </w:r>
      <w:r w:rsidR="002C5CFB" w:rsidRPr="00FE76AF">
        <w:rPr>
          <w:rFonts w:ascii="Trebuchet MS" w:eastAsia="Calibri" w:hAnsi="Trebuchet MS"/>
          <w:sz w:val="18"/>
          <w:szCs w:val="18"/>
          <w:lang w:val="it"/>
        </w:rPr>
        <w:t>nominato con D.A. Rep. n. 2382 del 27.10.2021 e insediatosi in data 10/11/2021</w:t>
      </w:r>
      <w:r w:rsidR="002C5CFB">
        <w:rPr>
          <w:rFonts w:ascii="Trebuchet MS" w:eastAsia="Calibri" w:hAnsi="Trebuchet MS"/>
          <w:sz w:val="18"/>
          <w:szCs w:val="18"/>
          <w:lang w:val="it"/>
        </w:rPr>
        <w:t>,</w:t>
      </w:r>
      <w:r>
        <w:rPr>
          <w:rFonts w:ascii="Trebuchet MS" w:hAnsi="Trebuchet MS"/>
          <w:sz w:val="18"/>
          <w:szCs w:val="18"/>
        </w:rPr>
        <w:t xml:space="preserve"> </w:t>
      </w:r>
      <w:r w:rsidR="002A1A4E">
        <w:rPr>
          <w:rFonts w:ascii="Trebuchet MS" w:hAnsi="Trebuchet MS"/>
          <w:sz w:val="18"/>
          <w:szCs w:val="18"/>
        </w:rPr>
        <w:t xml:space="preserve">investito della questione di cui sopra, </w:t>
      </w:r>
      <w:r>
        <w:rPr>
          <w:rFonts w:ascii="Trebuchet MS" w:hAnsi="Trebuchet MS"/>
          <w:sz w:val="18"/>
          <w:szCs w:val="18"/>
        </w:rPr>
        <w:t>ha</w:t>
      </w:r>
      <w:r w:rsidR="002C5CFB">
        <w:rPr>
          <w:rFonts w:ascii="Trebuchet MS" w:hAnsi="Trebuchet MS"/>
          <w:sz w:val="18"/>
          <w:szCs w:val="18"/>
        </w:rPr>
        <w:t xml:space="preserve"> dunque</w:t>
      </w:r>
      <w:r>
        <w:rPr>
          <w:rFonts w:ascii="Trebuchet MS" w:hAnsi="Trebuchet MS"/>
          <w:sz w:val="18"/>
          <w:szCs w:val="18"/>
        </w:rPr>
        <w:t xml:space="preserve"> verificato il rispetto dei vincoli di spesa</w:t>
      </w:r>
      <w:r w:rsidR="008A242F">
        <w:rPr>
          <w:rFonts w:ascii="Trebuchet MS" w:hAnsi="Trebuchet MS"/>
          <w:sz w:val="18"/>
          <w:szCs w:val="18"/>
        </w:rPr>
        <w:t xml:space="preserve"> ai sensi e per gli effetti della </w:t>
      </w:r>
      <w:r w:rsidR="002C5CFB">
        <w:rPr>
          <w:rFonts w:ascii="Trebuchet MS" w:hAnsi="Trebuchet MS"/>
          <w:sz w:val="18"/>
          <w:szCs w:val="18"/>
        </w:rPr>
        <w:t>normativa vigente in materia</w:t>
      </w:r>
      <w:r w:rsidR="002A1A4E">
        <w:rPr>
          <w:rFonts w:ascii="Trebuchet MS" w:hAnsi="Trebuchet MS"/>
          <w:sz w:val="18"/>
          <w:szCs w:val="18"/>
        </w:rPr>
        <w:t xml:space="preserve"> e</w:t>
      </w:r>
      <w:r w:rsidR="00C3244D">
        <w:rPr>
          <w:rFonts w:ascii="Trebuchet MS" w:hAnsi="Trebuchet MS"/>
          <w:sz w:val="18"/>
          <w:szCs w:val="18"/>
        </w:rPr>
        <w:t>,</w:t>
      </w:r>
      <w:r w:rsidR="002A1A4E">
        <w:rPr>
          <w:rFonts w:ascii="Trebuchet MS" w:hAnsi="Trebuchet MS"/>
          <w:sz w:val="18"/>
          <w:szCs w:val="18"/>
        </w:rPr>
        <w:t xml:space="preserve"> dopo aver richiesto gli opportuni chiarimenti</w:t>
      </w:r>
      <w:r w:rsidR="00C3244D">
        <w:rPr>
          <w:rFonts w:ascii="Trebuchet MS" w:hAnsi="Trebuchet MS"/>
          <w:sz w:val="18"/>
          <w:szCs w:val="18"/>
        </w:rPr>
        <w:t xml:space="preserve"> nonché una relazione a supporto delle schede compilate,</w:t>
      </w:r>
      <w:r w:rsidR="002A1A4E">
        <w:rPr>
          <w:rFonts w:ascii="Trebuchet MS" w:hAnsi="Trebuchet MS"/>
          <w:sz w:val="18"/>
          <w:szCs w:val="18"/>
        </w:rPr>
        <w:t xml:space="preserve"> ha</w:t>
      </w:r>
      <w:r w:rsidR="002C5CFB">
        <w:rPr>
          <w:rFonts w:ascii="Trebuchet MS" w:hAnsi="Trebuchet MS"/>
          <w:sz w:val="18"/>
          <w:szCs w:val="18"/>
        </w:rPr>
        <w:t xml:space="preserve"> firma</w:t>
      </w:r>
      <w:r w:rsidR="002A1A4E">
        <w:rPr>
          <w:rFonts w:ascii="Trebuchet MS" w:hAnsi="Trebuchet MS"/>
          <w:sz w:val="18"/>
          <w:szCs w:val="18"/>
        </w:rPr>
        <w:t>to</w:t>
      </w:r>
      <w:r w:rsidR="002C5CFB">
        <w:rPr>
          <w:rFonts w:ascii="Trebuchet MS" w:hAnsi="Trebuchet MS"/>
          <w:sz w:val="18"/>
          <w:szCs w:val="18"/>
        </w:rPr>
        <w:t xml:space="preserve"> per asseverazione </w:t>
      </w:r>
      <w:r w:rsidR="00C3244D">
        <w:rPr>
          <w:rFonts w:ascii="Trebuchet MS" w:hAnsi="Trebuchet MS"/>
          <w:sz w:val="18"/>
          <w:szCs w:val="18"/>
        </w:rPr>
        <w:t>quest’ultime</w:t>
      </w:r>
      <w:r w:rsidR="002A1A4E">
        <w:rPr>
          <w:rFonts w:ascii="Trebuchet MS" w:hAnsi="Trebuchet MS"/>
          <w:sz w:val="18"/>
          <w:szCs w:val="18"/>
        </w:rPr>
        <w:t xml:space="preserve"> sollecitando l’Ente a ottemperare alla </w:t>
      </w:r>
      <w:r w:rsidR="006A06F9">
        <w:rPr>
          <w:rFonts w:ascii="Trebuchet MS" w:hAnsi="Trebuchet MS"/>
          <w:sz w:val="18"/>
          <w:szCs w:val="18"/>
        </w:rPr>
        <w:t>scadenza del 31/01/2022.</w:t>
      </w:r>
    </w:p>
    <w:p w14:paraId="75E45ABF" w14:textId="547A4141" w:rsidR="00C3244D" w:rsidRDefault="00C3244D" w:rsidP="0052250B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192386D9" w14:textId="77777777" w:rsidR="002A1A4E" w:rsidRDefault="002A1A4E" w:rsidP="0052250B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3A4C3664" w14:textId="51512072" w:rsidR="002A1A4E" w:rsidRPr="0052250B" w:rsidRDefault="002A1A4E" w:rsidP="0052250B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3E6A20E6" w14:textId="77777777" w:rsidR="00CB4B91" w:rsidRPr="00FB55BF" w:rsidRDefault="00CB4B91" w:rsidP="00B147E3">
      <w:pPr>
        <w:ind w:firstLine="0"/>
        <w:jc w:val="center"/>
        <w:rPr>
          <w:rFonts w:ascii="Trebuchet MS" w:hAnsi="Trebuchet MS"/>
          <w:b/>
          <w:szCs w:val="22"/>
        </w:rPr>
      </w:pPr>
      <w:r w:rsidRPr="00FB55BF">
        <w:rPr>
          <w:rFonts w:ascii="Trebuchet MS" w:hAnsi="Trebuchet MS"/>
          <w:b/>
          <w:szCs w:val="22"/>
        </w:rPr>
        <w:t>CONCLUSIONI</w:t>
      </w:r>
    </w:p>
    <w:p w14:paraId="087CDEF7" w14:textId="090B3DDB" w:rsidR="00CB4B91" w:rsidRPr="008E6183" w:rsidRDefault="006A06F9" w:rsidP="00154394">
      <w:pPr>
        <w:ind w:firstLine="0"/>
        <w:rPr>
          <w:rFonts w:ascii="Trebuchet MS" w:hAnsi="Trebuchet MS"/>
          <w:color w:val="FF0000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L’Organo di revisione, </w:t>
      </w:r>
    </w:p>
    <w:p w14:paraId="7EBC2F8D" w14:textId="099EAD09" w:rsidR="006A06F9" w:rsidRDefault="006A06F9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tenuto conto:</w:t>
      </w:r>
    </w:p>
    <w:p w14:paraId="2760E0E0" w14:textId="21CF9BA5" w:rsidR="006A06F9" w:rsidRDefault="006A06F9" w:rsidP="00154394">
      <w:pPr>
        <w:ind w:firstLine="0"/>
        <w:rPr>
          <w:rFonts w:ascii="Trebuchet MS" w:hAnsi="Trebuchet MS"/>
          <w:bCs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- dei pareri </w:t>
      </w:r>
      <w:r>
        <w:rPr>
          <w:rFonts w:ascii="Trebuchet MS" w:hAnsi="Trebuchet MS"/>
          <w:bCs/>
          <w:sz w:val="18"/>
          <w:szCs w:val="18"/>
        </w:rPr>
        <w:t xml:space="preserve">di regolarità tecnica e contabile espressi dal </w:t>
      </w:r>
      <w:r w:rsidR="00F36446">
        <w:rPr>
          <w:rFonts w:ascii="Trebuchet MS" w:hAnsi="Trebuchet MS"/>
          <w:bCs/>
          <w:sz w:val="18"/>
          <w:szCs w:val="18"/>
        </w:rPr>
        <w:t>Direttore Filippo Fiammetta;</w:t>
      </w:r>
    </w:p>
    <w:p w14:paraId="53DA4F85" w14:textId="21084E24" w:rsidR="006A06F9" w:rsidRDefault="006A06F9" w:rsidP="00154394">
      <w:pPr>
        <w:ind w:firstLine="0"/>
        <w:rPr>
          <w:rFonts w:ascii="Trebuchet MS" w:hAnsi="Trebuchet MS"/>
          <w:bCs/>
          <w:sz w:val="18"/>
          <w:szCs w:val="18"/>
        </w:rPr>
      </w:pPr>
      <w:r>
        <w:rPr>
          <w:rFonts w:ascii="Trebuchet MS" w:hAnsi="Trebuchet MS"/>
          <w:bCs/>
          <w:sz w:val="18"/>
          <w:szCs w:val="18"/>
        </w:rPr>
        <w:t>- della verifica effettuata sugli equilibri di competenza e di cassa;</w:t>
      </w:r>
    </w:p>
    <w:p w14:paraId="56AA7453" w14:textId="339C7543" w:rsidR="006A06F9" w:rsidRPr="00A42154" w:rsidRDefault="006A06F9" w:rsidP="00154394">
      <w:pPr>
        <w:ind w:firstLine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Cs/>
          <w:sz w:val="18"/>
          <w:szCs w:val="18"/>
        </w:rPr>
        <w:t>considerato che:</w:t>
      </w:r>
    </w:p>
    <w:p w14:paraId="3982612E" w14:textId="0AB5063A" w:rsidR="00CB4B91" w:rsidRPr="00A42154" w:rsidRDefault="00CB4B91" w:rsidP="00154394">
      <w:pPr>
        <w:numPr>
          <w:ilvl w:val="0"/>
          <w:numId w:val="20"/>
        </w:numPr>
        <w:tabs>
          <w:tab w:val="left" w:pos="567"/>
        </w:tabs>
        <w:ind w:left="567" w:hanging="283"/>
        <w:contextualSpacing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il bilancio è stato redatto</w:t>
      </w:r>
      <w:r w:rsidR="008E6183">
        <w:rPr>
          <w:rFonts w:ascii="Trebuchet MS" w:hAnsi="Trebuchet MS"/>
          <w:sz w:val="18"/>
          <w:szCs w:val="18"/>
        </w:rPr>
        <w:t xml:space="preserve"> nell’osservanza delle norme di Legge, del regolamento di contabilità dell’ente, dei principi previsti dall</w:t>
      </w:r>
      <w:r w:rsidR="000872E2">
        <w:rPr>
          <w:rFonts w:ascii="Trebuchet MS" w:hAnsi="Trebuchet MS"/>
          <w:sz w:val="18"/>
          <w:szCs w:val="18"/>
        </w:rPr>
        <w:t>e</w:t>
      </w:r>
      <w:r w:rsidR="008E6183">
        <w:rPr>
          <w:rFonts w:ascii="Trebuchet MS" w:hAnsi="Trebuchet MS"/>
          <w:sz w:val="18"/>
          <w:szCs w:val="18"/>
        </w:rPr>
        <w:t xml:space="preserve"> norme del D.Lgs.118/2011 e dai p</w:t>
      </w:r>
      <w:r w:rsidR="000872E2">
        <w:rPr>
          <w:rFonts w:ascii="Trebuchet MS" w:hAnsi="Trebuchet MS"/>
          <w:sz w:val="18"/>
          <w:szCs w:val="18"/>
        </w:rPr>
        <w:t>r</w:t>
      </w:r>
      <w:r w:rsidR="008E6183">
        <w:rPr>
          <w:rFonts w:ascii="Trebuchet MS" w:hAnsi="Trebuchet MS"/>
          <w:sz w:val="18"/>
          <w:szCs w:val="18"/>
        </w:rPr>
        <w:t>incipi</w:t>
      </w:r>
      <w:r w:rsidR="000872E2">
        <w:rPr>
          <w:rFonts w:ascii="Trebuchet MS" w:hAnsi="Trebuchet MS"/>
          <w:sz w:val="18"/>
          <w:szCs w:val="18"/>
        </w:rPr>
        <w:t xml:space="preserve"> </w:t>
      </w:r>
      <w:r w:rsidR="008E6183">
        <w:rPr>
          <w:rFonts w:ascii="Trebuchet MS" w:hAnsi="Trebuchet MS"/>
          <w:sz w:val="18"/>
          <w:szCs w:val="18"/>
        </w:rPr>
        <w:t>contabili applicati n. 4/1 e n. 4/2 allegati al predetto decreto legislativo;</w:t>
      </w:r>
    </w:p>
    <w:p w14:paraId="59D6E512" w14:textId="3BB3192B" w:rsidR="00CB4B91" w:rsidRPr="00A42154" w:rsidRDefault="00CB4B91" w:rsidP="00154394">
      <w:pPr>
        <w:numPr>
          <w:ilvl w:val="0"/>
          <w:numId w:val="20"/>
        </w:numPr>
        <w:tabs>
          <w:tab w:val="left" w:pos="567"/>
        </w:tabs>
        <w:ind w:left="567" w:hanging="283"/>
        <w:contextualSpacing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in base alla documentazione e agli elementi conoscitivi forniti dall’Ente le entrate previste risultano essere attendibili;</w:t>
      </w:r>
    </w:p>
    <w:p w14:paraId="241EC8B2" w14:textId="77777777" w:rsidR="00CB4B91" w:rsidRPr="00A42154" w:rsidRDefault="00CB4B91" w:rsidP="00154394">
      <w:pPr>
        <w:numPr>
          <w:ilvl w:val="0"/>
          <w:numId w:val="20"/>
        </w:numPr>
        <w:tabs>
          <w:tab w:val="left" w:pos="567"/>
        </w:tabs>
        <w:ind w:left="567" w:hanging="283"/>
        <w:contextualSpacing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le spese previste sono da ritenersi congrue in relazione all’ammontare delle risorse consumate negli esercizi precedenti e ai programmi che l’Ente intende svolgere;</w:t>
      </w:r>
    </w:p>
    <w:p w14:paraId="4C061062" w14:textId="77777777" w:rsidR="00CB4B91" w:rsidRPr="00A42154" w:rsidRDefault="00CB4B91" w:rsidP="00154394">
      <w:pPr>
        <w:numPr>
          <w:ilvl w:val="0"/>
          <w:numId w:val="20"/>
        </w:numPr>
        <w:tabs>
          <w:tab w:val="left" w:pos="567"/>
        </w:tabs>
        <w:ind w:left="567" w:hanging="283"/>
        <w:contextualSpacing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sono state rispettate le norme di contenimento della spesa pubblica;</w:t>
      </w:r>
    </w:p>
    <w:p w14:paraId="1FAF5087" w14:textId="64E0C193" w:rsidR="00CB4B91" w:rsidRPr="00A42154" w:rsidRDefault="00944FB1" w:rsidP="00154394">
      <w:pPr>
        <w:numPr>
          <w:ilvl w:val="0"/>
          <w:numId w:val="20"/>
        </w:numPr>
        <w:tabs>
          <w:tab w:val="left" w:pos="567"/>
        </w:tabs>
        <w:ind w:left="567" w:hanging="283"/>
        <w:contextualSpacing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con le previsioni proposte </w:t>
      </w:r>
      <w:r w:rsidR="00CB4B91" w:rsidRPr="00A42154">
        <w:rPr>
          <w:rFonts w:ascii="Trebuchet MS" w:hAnsi="Trebuchet MS"/>
          <w:sz w:val="18"/>
          <w:szCs w:val="18"/>
        </w:rPr>
        <w:t xml:space="preserve">risulta essere salvaguardato l’equilibrio di bilancio; </w:t>
      </w:r>
    </w:p>
    <w:p w14:paraId="23B1051D" w14:textId="77777777" w:rsidR="00CB4B91" w:rsidRPr="00A42154" w:rsidRDefault="00CB4B91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</w:p>
    <w:p w14:paraId="591DFA9B" w14:textId="43A15B4E" w:rsidR="00CB4B91" w:rsidRPr="00A42154" w:rsidRDefault="00CB4B91" w:rsidP="00154394">
      <w:pPr>
        <w:spacing w:after="0"/>
        <w:ind w:firstLine="0"/>
        <w:jc w:val="center"/>
        <w:rPr>
          <w:rFonts w:ascii="Trebuchet MS" w:hAnsi="Trebuchet MS"/>
          <w:b/>
          <w:bCs/>
          <w:sz w:val="18"/>
          <w:szCs w:val="18"/>
        </w:rPr>
      </w:pPr>
      <w:r w:rsidRPr="00A42154">
        <w:rPr>
          <w:rFonts w:ascii="Trebuchet MS" w:hAnsi="Trebuchet MS"/>
          <w:b/>
          <w:sz w:val="18"/>
          <w:szCs w:val="18"/>
        </w:rPr>
        <w:t xml:space="preserve">esprime </w:t>
      </w:r>
      <w:r w:rsidRPr="00A42154">
        <w:rPr>
          <w:rFonts w:ascii="Trebuchet MS" w:hAnsi="Trebuchet MS"/>
          <w:b/>
          <w:bCs/>
          <w:sz w:val="18"/>
          <w:szCs w:val="18"/>
        </w:rPr>
        <w:t>parere favorevole</w:t>
      </w:r>
    </w:p>
    <w:p w14:paraId="6E23FAAD" w14:textId="77777777" w:rsidR="00CB4B91" w:rsidRPr="00A42154" w:rsidRDefault="00CB4B91" w:rsidP="00154394">
      <w:pPr>
        <w:spacing w:after="0"/>
        <w:ind w:firstLine="0"/>
        <w:rPr>
          <w:rFonts w:ascii="Trebuchet MS" w:hAnsi="Trebuchet MS"/>
          <w:b/>
          <w:bCs/>
          <w:sz w:val="18"/>
          <w:szCs w:val="18"/>
        </w:rPr>
      </w:pPr>
    </w:p>
    <w:p w14:paraId="7D25E0B1" w14:textId="098399EE" w:rsidR="00CB4B91" w:rsidRPr="00944FB1" w:rsidRDefault="00944FB1" w:rsidP="00154394">
      <w:pPr>
        <w:spacing w:after="0"/>
        <w:ind w:firstLine="0"/>
        <w:rPr>
          <w:rFonts w:ascii="Trebuchet MS" w:hAnsi="Trebuchet MS"/>
          <w:sz w:val="18"/>
          <w:szCs w:val="18"/>
        </w:rPr>
      </w:pPr>
      <w:r w:rsidRPr="00944FB1">
        <w:rPr>
          <w:rFonts w:ascii="Trebuchet MS" w:hAnsi="Trebuchet MS"/>
          <w:sz w:val="18"/>
          <w:szCs w:val="18"/>
        </w:rPr>
        <w:t>sulla proposta di bilancio di previsione 2022-2024 e sui documenti allegati</w:t>
      </w:r>
      <w:r w:rsidR="000872E2">
        <w:rPr>
          <w:rFonts w:ascii="Trebuchet MS" w:hAnsi="Trebuchet MS"/>
          <w:sz w:val="18"/>
          <w:szCs w:val="18"/>
        </w:rPr>
        <w:t>.</w:t>
      </w:r>
    </w:p>
    <w:p w14:paraId="3129F471" w14:textId="02CECEC7" w:rsidR="00CB4B91" w:rsidRDefault="00CB4B91" w:rsidP="00154394">
      <w:pPr>
        <w:spacing w:after="0"/>
        <w:ind w:firstLine="0"/>
        <w:rPr>
          <w:rFonts w:ascii="Trebuchet MS" w:hAnsi="Trebuchet MS"/>
          <w:bCs/>
          <w:sz w:val="18"/>
          <w:szCs w:val="18"/>
        </w:rPr>
      </w:pPr>
    </w:p>
    <w:p w14:paraId="52DF69DB" w14:textId="203886BF" w:rsidR="00FC1FC7" w:rsidRDefault="00FC1FC7" w:rsidP="00154394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  <w:r>
        <w:rPr>
          <w:rFonts w:ascii="Trebuchet MS" w:eastAsia="Calibri" w:hAnsi="Trebuchet MS"/>
          <w:sz w:val="18"/>
          <w:szCs w:val="18"/>
        </w:rPr>
        <w:t>Si raccomanda:</w:t>
      </w:r>
    </w:p>
    <w:p w14:paraId="1949FBC4" w14:textId="464C590E" w:rsidR="00C9299C" w:rsidRDefault="00C9299C" w:rsidP="00154394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</w:p>
    <w:p w14:paraId="4915ED07" w14:textId="101DB1CF" w:rsidR="000A0E12" w:rsidRDefault="000A0E12" w:rsidP="005548ED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  <w:r>
        <w:rPr>
          <w:rFonts w:ascii="Trebuchet MS" w:eastAsia="Calibri" w:hAnsi="Trebuchet MS"/>
          <w:sz w:val="18"/>
          <w:szCs w:val="18"/>
        </w:rPr>
        <w:t xml:space="preserve">- </w:t>
      </w:r>
      <w:r w:rsidR="00236452">
        <w:rPr>
          <w:rFonts w:ascii="Trebuchet MS" w:eastAsia="Calibri" w:hAnsi="Trebuchet MS"/>
          <w:sz w:val="18"/>
          <w:szCs w:val="18"/>
        </w:rPr>
        <w:t>di specificare in nota integrativa le ragioni del mancato accantonamento al FPV;</w:t>
      </w:r>
    </w:p>
    <w:p w14:paraId="5E3B1C74" w14:textId="7DF9BD9E" w:rsidR="00236452" w:rsidRDefault="00236452" w:rsidP="005548ED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</w:p>
    <w:p w14:paraId="70EC4C1C" w14:textId="3DC52ADC" w:rsidR="00236452" w:rsidRDefault="00236452" w:rsidP="005548ED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eastAsia="Calibri" w:hAnsi="Trebuchet MS"/>
          <w:sz w:val="18"/>
          <w:szCs w:val="18"/>
        </w:rPr>
        <w:t xml:space="preserve">- di suddividere l’accantonamento al fondo di riserva nei tre fondi previsti dalla normativa vigente: </w:t>
      </w:r>
      <w:r>
        <w:rPr>
          <w:rFonts w:ascii="Trebuchet MS" w:hAnsi="Trebuchet MS"/>
          <w:color w:val="000000" w:themeColor="text1"/>
          <w:sz w:val="18"/>
          <w:szCs w:val="18"/>
        </w:rPr>
        <w:t>f</w:t>
      </w:r>
      <w:r w:rsidRPr="004B3375">
        <w:rPr>
          <w:rFonts w:ascii="Trebuchet MS" w:hAnsi="Trebuchet MS"/>
          <w:color w:val="000000" w:themeColor="text1"/>
          <w:sz w:val="18"/>
          <w:szCs w:val="18"/>
        </w:rPr>
        <w:t>ondi per spese obbligatorie, per spese impreviste e per autorizzazioni di cassa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 e relazionare in nota integrativa la corretta applicazione delle percentuali minime e massime previste;</w:t>
      </w:r>
    </w:p>
    <w:p w14:paraId="234E3A31" w14:textId="0B1B33E9" w:rsidR="00236452" w:rsidRDefault="00236452" w:rsidP="005548ED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2DA31769" w14:textId="2E1E8D5E" w:rsidR="00236452" w:rsidRDefault="00236452" w:rsidP="005548ED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  <w:r>
        <w:rPr>
          <w:rFonts w:ascii="Trebuchet MS" w:hAnsi="Trebuchet MS"/>
          <w:color w:val="000000" w:themeColor="text1"/>
          <w:sz w:val="18"/>
          <w:szCs w:val="18"/>
        </w:rPr>
        <w:t>- di modificare l’imputazione del fondo di riserva dalla missione 1 alla missione 20 (fondi e accantonamenti)</w:t>
      </w:r>
      <w:r w:rsidR="0014169B">
        <w:rPr>
          <w:rFonts w:ascii="Trebuchet MS" w:hAnsi="Trebuchet MS"/>
          <w:color w:val="000000" w:themeColor="text1"/>
          <w:sz w:val="18"/>
          <w:szCs w:val="18"/>
        </w:rPr>
        <w:t>;</w:t>
      </w:r>
    </w:p>
    <w:p w14:paraId="652224CA" w14:textId="69EA4AD2" w:rsidR="0014169B" w:rsidRDefault="0014169B" w:rsidP="005548ED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6BB3252F" w14:textId="77777777" w:rsidR="0014169B" w:rsidRDefault="0014169B" w:rsidP="0014169B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  <w:r>
        <w:rPr>
          <w:rFonts w:ascii="Trebuchet MS" w:hAnsi="Trebuchet MS"/>
          <w:bCs/>
          <w:sz w:val="18"/>
          <w:szCs w:val="18"/>
        </w:rPr>
        <w:t xml:space="preserve">- pur apprezzando il criterio prudenziale adottato nell’istituzione del relativo fondo </w:t>
      </w:r>
      <w:r w:rsidRPr="00466A14">
        <w:rPr>
          <w:rFonts w:ascii="Trebuchet MS" w:hAnsi="Trebuchet MS"/>
          <w:color w:val="000000" w:themeColor="text1"/>
          <w:sz w:val="18"/>
          <w:szCs w:val="18"/>
        </w:rPr>
        <w:t>di garanzia debiti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r w:rsidRPr="00466A14">
        <w:rPr>
          <w:rFonts w:ascii="Trebuchet MS" w:hAnsi="Trebuchet MS"/>
          <w:color w:val="000000" w:themeColor="text1"/>
          <w:sz w:val="18"/>
          <w:szCs w:val="18"/>
        </w:rPr>
        <w:t>commerciali</w:t>
      </w:r>
      <w:r>
        <w:rPr>
          <w:rFonts w:ascii="Trebuchet MS" w:hAnsi="Trebuchet MS"/>
          <w:color w:val="000000" w:themeColor="text1"/>
          <w:sz w:val="18"/>
          <w:szCs w:val="18"/>
        </w:rPr>
        <w:t xml:space="preserve"> si invita l’ente ad iscriversi alla </w:t>
      </w:r>
      <w:r w:rsidRPr="00220A02">
        <w:rPr>
          <w:rFonts w:ascii="Trebuchet MS" w:eastAsia="Calibri" w:hAnsi="Trebuchet MS"/>
          <w:sz w:val="18"/>
          <w:szCs w:val="18"/>
        </w:rPr>
        <w:t xml:space="preserve">relativa piattaforma dei crediti commerciali </w:t>
      </w:r>
      <w:r>
        <w:rPr>
          <w:rFonts w:ascii="Trebuchet MS" w:eastAsia="Calibri" w:hAnsi="Trebuchet MS"/>
          <w:sz w:val="18"/>
          <w:szCs w:val="18"/>
        </w:rPr>
        <w:t>(PCC) per caricare e aggiornare le informazioni utili al calcolo dell’indicatore sulla tempestività dei pagamenti;</w:t>
      </w:r>
    </w:p>
    <w:p w14:paraId="52A67396" w14:textId="77777777" w:rsidR="0014169B" w:rsidRDefault="0014169B" w:rsidP="0014169B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</w:p>
    <w:p w14:paraId="56AD108A" w14:textId="77777777" w:rsidR="0014169B" w:rsidRPr="000A0E12" w:rsidRDefault="0014169B" w:rsidP="0014169B">
      <w:pPr>
        <w:autoSpaceDE w:val="0"/>
        <w:autoSpaceDN w:val="0"/>
        <w:adjustRightInd w:val="0"/>
        <w:ind w:firstLine="0"/>
        <w:rPr>
          <w:rFonts w:ascii="Trebuchet MS" w:eastAsia="Calibri" w:hAnsi="Trebuchet MS"/>
          <w:sz w:val="18"/>
          <w:szCs w:val="18"/>
        </w:rPr>
      </w:pPr>
      <w:r w:rsidRPr="000A0E12">
        <w:rPr>
          <w:rFonts w:ascii="Trebuchet MS" w:eastAsia="Calibri" w:hAnsi="Trebuchet MS"/>
          <w:sz w:val="18"/>
          <w:szCs w:val="18"/>
        </w:rPr>
        <w:t>- l’applicazione del principio di costruzione concomitante, e non di costruzione ex post, dei dati contabili derivanti dalla riconciliazione della contabilità finanziaria, in modo da consentire l’integrazione e la coerenza tra le rivelazioni contabili di natura finanziaria e di natura economica, una maggiore tracciabilità delle informazioni nelle varie fasi di rappresentazione della manifestazione contabile in termini di competenza finanziaria, economica, e patrimoniale;</w:t>
      </w:r>
    </w:p>
    <w:p w14:paraId="2AF10C3F" w14:textId="0D8BA123" w:rsidR="0014169B" w:rsidRDefault="0014169B" w:rsidP="0014169B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  <w:r w:rsidRPr="000A0E12">
        <w:rPr>
          <w:rFonts w:ascii="Trebuchet MS" w:eastAsia="Calibri" w:hAnsi="Trebuchet MS"/>
          <w:sz w:val="18"/>
          <w:szCs w:val="18"/>
        </w:rPr>
        <w:t xml:space="preserve">- a partire dal consuntivo 2021 di allegare le schede </w:t>
      </w:r>
      <w:r w:rsidRPr="000A0E12">
        <w:rPr>
          <w:rFonts w:ascii="Trebuchet MS" w:hAnsi="Trebuchet MS"/>
          <w:sz w:val="18"/>
          <w:szCs w:val="18"/>
        </w:rPr>
        <w:t xml:space="preserve">di cui alla a Circolare n.10 del 28/06/2021 </w:t>
      </w:r>
      <w:r w:rsidRPr="000A0E12">
        <w:rPr>
          <w:rFonts w:ascii="Trebuchet MS" w:eastAsia="Calibri" w:hAnsi="Trebuchet MS"/>
          <w:sz w:val="18"/>
          <w:szCs w:val="18"/>
        </w:rPr>
        <w:t>relative al contenimento della spesa</w:t>
      </w:r>
      <w:r>
        <w:rPr>
          <w:rFonts w:ascii="Trebuchet MS" w:eastAsia="Calibri" w:hAnsi="Trebuchet MS"/>
          <w:sz w:val="18"/>
          <w:szCs w:val="18"/>
        </w:rPr>
        <w:t>.</w:t>
      </w:r>
    </w:p>
    <w:p w14:paraId="5C455AA4" w14:textId="77777777" w:rsidR="0014169B" w:rsidRDefault="0014169B" w:rsidP="005548ED">
      <w:pPr>
        <w:spacing w:after="0"/>
        <w:ind w:firstLine="0"/>
        <w:rPr>
          <w:rFonts w:ascii="Trebuchet MS" w:hAnsi="Trebuchet MS"/>
          <w:color w:val="000000" w:themeColor="text1"/>
          <w:sz w:val="18"/>
          <w:szCs w:val="18"/>
        </w:rPr>
      </w:pPr>
    </w:p>
    <w:p w14:paraId="1E2032E2" w14:textId="77777777" w:rsidR="00236452" w:rsidRPr="000A0E12" w:rsidRDefault="00236452" w:rsidP="005548ED">
      <w:pPr>
        <w:spacing w:after="0"/>
        <w:ind w:firstLine="0"/>
        <w:rPr>
          <w:rFonts w:ascii="Trebuchet MS" w:eastAsia="Calibri" w:hAnsi="Trebuchet MS"/>
          <w:sz w:val="18"/>
          <w:szCs w:val="18"/>
        </w:rPr>
      </w:pPr>
    </w:p>
    <w:p w14:paraId="41A21F2D" w14:textId="0AE14F31" w:rsidR="00944FB1" w:rsidRDefault="00944FB1" w:rsidP="00CB4B91">
      <w:pPr>
        <w:ind w:firstLine="0"/>
        <w:rPr>
          <w:rFonts w:ascii="Trebuchet MS" w:hAnsi="Trebuchet MS"/>
          <w:b/>
          <w:sz w:val="18"/>
          <w:szCs w:val="18"/>
        </w:rPr>
      </w:pPr>
    </w:p>
    <w:p w14:paraId="00A7AE8C" w14:textId="663D8BA6" w:rsidR="00944FB1" w:rsidRDefault="00944FB1" w:rsidP="00CB4B91">
      <w:pPr>
        <w:ind w:firstLine="0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Enna lì, 26/04/2022</w:t>
      </w:r>
    </w:p>
    <w:p w14:paraId="7EA7C2B9" w14:textId="77777777" w:rsidR="00944FB1" w:rsidRDefault="00944FB1" w:rsidP="00CB4B91">
      <w:pPr>
        <w:ind w:firstLine="0"/>
        <w:rPr>
          <w:rFonts w:ascii="Trebuchet MS" w:hAnsi="Trebuchet MS"/>
          <w:b/>
          <w:sz w:val="18"/>
          <w:szCs w:val="18"/>
        </w:rPr>
      </w:pPr>
    </w:p>
    <w:p w14:paraId="14432C1B" w14:textId="77777777" w:rsidR="00944FB1" w:rsidRPr="00A42154" w:rsidRDefault="00944FB1" w:rsidP="00944FB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rebuchet MS" w:hAnsi="Trebuchet MS"/>
          <w:b/>
          <w:sz w:val="18"/>
          <w:szCs w:val="18"/>
        </w:rPr>
      </w:pPr>
      <w:r w:rsidRPr="00A42154">
        <w:rPr>
          <w:rFonts w:ascii="Trebuchet MS" w:hAnsi="Trebuchet MS"/>
          <w:b/>
          <w:sz w:val="18"/>
          <w:szCs w:val="18"/>
        </w:rPr>
        <w:t>Il Collegio dei Revisori dei conti</w:t>
      </w:r>
    </w:p>
    <w:p w14:paraId="6FFFCBB1" w14:textId="77777777" w:rsidR="00944FB1" w:rsidRPr="00A42154" w:rsidRDefault="00944FB1" w:rsidP="00944FB1">
      <w:pPr>
        <w:tabs>
          <w:tab w:val="left" w:pos="5103"/>
        </w:tabs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Dott.</w:t>
      </w:r>
      <w:r>
        <w:rPr>
          <w:rFonts w:ascii="Trebuchet MS" w:hAnsi="Trebuchet MS"/>
          <w:sz w:val="18"/>
          <w:szCs w:val="18"/>
        </w:rPr>
        <w:t xml:space="preserve"> Silvestro Saladdino</w:t>
      </w:r>
      <w:r w:rsidRPr="00A42154">
        <w:rPr>
          <w:rFonts w:ascii="Trebuchet MS" w:hAnsi="Trebuchet MS"/>
          <w:sz w:val="18"/>
          <w:szCs w:val="18"/>
        </w:rPr>
        <w:t xml:space="preserve">    </w:t>
      </w:r>
      <w:r w:rsidRPr="00A42154">
        <w:rPr>
          <w:rFonts w:ascii="Trebuchet MS" w:hAnsi="Trebuchet MS"/>
          <w:sz w:val="18"/>
          <w:szCs w:val="18"/>
        </w:rPr>
        <w:tab/>
      </w:r>
      <w:r w:rsidRPr="00A42154">
        <w:rPr>
          <w:rFonts w:ascii="Trebuchet MS" w:hAnsi="Trebuchet MS"/>
          <w:sz w:val="18"/>
          <w:szCs w:val="18"/>
        </w:rPr>
        <w:tab/>
        <w:t xml:space="preserve">         </w:t>
      </w:r>
      <w:r w:rsidRPr="00A42154">
        <w:rPr>
          <w:rFonts w:ascii="Trebuchet MS" w:hAnsi="Trebuchet MS"/>
          <w:sz w:val="18"/>
          <w:szCs w:val="18"/>
        </w:rPr>
        <w:tab/>
        <w:t xml:space="preserve">(Presidente)    </w:t>
      </w:r>
    </w:p>
    <w:p w14:paraId="433634DF" w14:textId="40024F85" w:rsidR="00944FB1" w:rsidRPr="00A42154" w:rsidRDefault="00944FB1" w:rsidP="00944FB1">
      <w:pPr>
        <w:tabs>
          <w:tab w:val="left" w:pos="5103"/>
        </w:tabs>
        <w:ind w:firstLine="0"/>
        <w:rPr>
          <w:rFonts w:ascii="Trebuchet MS" w:hAnsi="Trebuchet MS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Dott</w:t>
      </w:r>
      <w:r>
        <w:rPr>
          <w:rFonts w:ascii="Trebuchet MS" w:hAnsi="Trebuchet MS"/>
          <w:sz w:val="18"/>
          <w:szCs w:val="18"/>
        </w:rPr>
        <w:t>.ssa Maria Maddalena La Placa</w:t>
      </w:r>
      <w:r w:rsidRPr="00A42154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ab/>
      </w:r>
      <w:r w:rsidRPr="00A42154">
        <w:rPr>
          <w:rFonts w:ascii="Trebuchet MS" w:hAnsi="Trebuchet MS"/>
          <w:sz w:val="18"/>
          <w:szCs w:val="18"/>
        </w:rPr>
        <w:tab/>
        <w:t xml:space="preserve">      </w:t>
      </w:r>
      <w:r w:rsidRPr="00A42154">
        <w:rPr>
          <w:rFonts w:ascii="Trebuchet MS" w:hAnsi="Trebuchet MS"/>
          <w:sz w:val="18"/>
          <w:szCs w:val="18"/>
        </w:rPr>
        <w:tab/>
        <w:t>(Componente</w:t>
      </w:r>
      <w:r w:rsidR="00E047A9">
        <w:rPr>
          <w:rFonts w:ascii="Trebuchet MS" w:hAnsi="Trebuchet MS"/>
          <w:sz w:val="18"/>
          <w:szCs w:val="18"/>
        </w:rPr>
        <w:t xml:space="preserve"> effettivo</w:t>
      </w:r>
      <w:r w:rsidRPr="00A42154">
        <w:rPr>
          <w:rFonts w:ascii="Trebuchet MS" w:hAnsi="Trebuchet MS"/>
          <w:sz w:val="18"/>
          <w:szCs w:val="18"/>
        </w:rPr>
        <w:t xml:space="preserve">)   </w:t>
      </w:r>
    </w:p>
    <w:p w14:paraId="11971453" w14:textId="276A61C5" w:rsidR="00944FB1" w:rsidRPr="00A42154" w:rsidRDefault="00944FB1" w:rsidP="00944FB1">
      <w:pPr>
        <w:tabs>
          <w:tab w:val="left" w:pos="5103"/>
        </w:tabs>
        <w:ind w:firstLine="0"/>
        <w:rPr>
          <w:rFonts w:ascii="Trebuchet MS" w:eastAsia="Calibri" w:hAnsi="Trebuchet MS"/>
          <w:color w:val="000000"/>
          <w:sz w:val="18"/>
          <w:szCs w:val="18"/>
        </w:rPr>
      </w:pPr>
      <w:r w:rsidRPr="00A42154">
        <w:rPr>
          <w:rFonts w:ascii="Trebuchet MS" w:hAnsi="Trebuchet MS"/>
          <w:sz w:val="18"/>
          <w:szCs w:val="18"/>
        </w:rPr>
        <w:t>Dott.</w:t>
      </w:r>
      <w:r>
        <w:rPr>
          <w:rFonts w:ascii="Trebuchet MS" w:hAnsi="Trebuchet MS"/>
          <w:sz w:val="18"/>
          <w:szCs w:val="18"/>
        </w:rPr>
        <w:t xml:space="preserve"> Giuseppe Antonino Provenzano</w:t>
      </w:r>
      <w:r w:rsidRPr="00A42154">
        <w:rPr>
          <w:rFonts w:ascii="Trebuchet MS" w:hAnsi="Trebuchet MS"/>
          <w:sz w:val="18"/>
          <w:szCs w:val="18"/>
        </w:rPr>
        <w:t xml:space="preserve">   </w:t>
      </w:r>
      <w:r w:rsidRPr="00A42154">
        <w:rPr>
          <w:rFonts w:ascii="Trebuchet MS" w:hAnsi="Trebuchet MS"/>
          <w:sz w:val="18"/>
          <w:szCs w:val="18"/>
        </w:rPr>
        <w:tab/>
      </w:r>
      <w:r w:rsidRPr="00A42154">
        <w:rPr>
          <w:rFonts w:ascii="Trebuchet MS" w:hAnsi="Trebuchet MS"/>
          <w:sz w:val="18"/>
          <w:szCs w:val="18"/>
        </w:rPr>
        <w:tab/>
        <w:t xml:space="preserve">         </w:t>
      </w:r>
      <w:r w:rsidRPr="00A42154">
        <w:rPr>
          <w:rFonts w:ascii="Trebuchet MS" w:hAnsi="Trebuchet MS"/>
          <w:sz w:val="18"/>
          <w:szCs w:val="18"/>
        </w:rPr>
        <w:tab/>
        <w:t>(Componente</w:t>
      </w:r>
      <w:r w:rsidR="00E047A9">
        <w:rPr>
          <w:rFonts w:ascii="Trebuchet MS" w:hAnsi="Trebuchet MS"/>
          <w:sz w:val="18"/>
          <w:szCs w:val="18"/>
        </w:rPr>
        <w:t xml:space="preserve"> effettivo</w:t>
      </w:r>
      <w:r w:rsidRPr="00A42154">
        <w:rPr>
          <w:rFonts w:ascii="Trebuchet MS" w:hAnsi="Trebuchet MS"/>
          <w:sz w:val="18"/>
          <w:szCs w:val="18"/>
        </w:rPr>
        <w:t xml:space="preserve">)   </w:t>
      </w:r>
    </w:p>
    <w:p w14:paraId="34F8A45F" w14:textId="63FA4C04" w:rsidR="00CB4B91" w:rsidRDefault="00CB4B91" w:rsidP="00944FB1">
      <w:pPr>
        <w:ind w:firstLine="0"/>
        <w:rPr>
          <w:rFonts w:ascii="Trebuchet MS" w:hAnsi="Trebuchet MS"/>
          <w:sz w:val="18"/>
          <w:szCs w:val="18"/>
        </w:rPr>
      </w:pPr>
    </w:p>
    <w:sectPr w:rsidR="00CB4B91" w:rsidSect="00220273">
      <w:headerReference w:type="default" r:id="rId1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DB04" w14:textId="77777777" w:rsidR="008D36A2" w:rsidRDefault="008D36A2" w:rsidP="00FB64BD">
      <w:pPr>
        <w:spacing w:after="0"/>
      </w:pPr>
      <w:r>
        <w:separator/>
      </w:r>
    </w:p>
  </w:endnote>
  <w:endnote w:type="continuationSeparator" w:id="0">
    <w:p w14:paraId="09982A3B" w14:textId="77777777" w:rsidR="008D36A2" w:rsidRDefault="008D36A2" w:rsidP="00FB6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69C2" w14:textId="77777777" w:rsidR="008D36A2" w:rsidRDefault="008D36A2" w:rsidP="00FB64BD">
      <w:pPr>
        <w:spacing w:after="0"/>
      </w:pPr>
      <w:r>
        <w:separator/>
      </w:r>
    </w:p>
  </w:footnote>
  <w:footnote w:type="continuationSeparator" w:id="0">
    <w:p w14:paraId="69A2B75D" w14:textId="77777777" w:rsidR="008D36A2" w:rsidRDefault="008D36A2" w:rsidP="00FB64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17E5" w14:textId="4B5626CF" w:rsidR="009D66D1" w:rsidRDefault="009D66D1">
    <w:pPr>
      <w:pStyle w:val="Intestazione"/>
    </w:pPr>
  </w:p>
  <w:p w14:paraId="431BA28C" w14:textId="1637BC6A" w:rsidR="009D66D1" w:rsidRDefault="009D66D1">
    <w:pPr>
      <w:pStyle w:val="Intestazione"/>
    </w:pPr>
  </w:p>
  <w:p w14:paraId="7343E308" w14:textId="0E699069" w:rsidR="009D66D1" w:rsidRDefault="009D66D1">
    <w:pPr>
      <w:pStyle w:val="Intestazione"/>
    </w:pPr>
  </w:p>
  <w:p w14:paraId="02D5D235" w14:textId="5FEDE85C" w:rsidR="009D66D1" w:rsidRDefault="009D66D1">
    <w:pPr>
      <w:pStyle w:val="Intestazione"/>
    </w:pPr>
  </w:p>
  <w:p w14:paraId="44F7F89A" w14:textId="77777777" w:rsidR="009D66D1" w:rsidRDefault="009D66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864FC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FB1B82"/>
    <w:multiLevelType w:val="hybridMultilevel"/>
    <w:tmpl w:val="1E52BB22"/>
    <w:lvl w:ilvl="0" w:tplc="04100017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020064C4"/>
    <w:multiLevelType w:val="hybridMultilevel"/>
    <w:tmpl w:val="0C5A2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E9D"/>
    <w:multiLevelType w:val="hybridMultilevel"/>
    <w:tmpl w:val="010EB35A"/>
    <w:lvl w:ilvl="0" w:tplc="E7C40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E67D3"/>
    <w:multiLevelType w:val="hybridMultilevel"/>
    <w:tmpl w:val="547C94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D17"/>
    <w:multiLevelType w:val="multilevel"/>
    <w:tmpl w:val="021A1BE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882300"/>
    <w:multiLevelType w:val="hybridMultilevel"/>
    <w:tmpl w:val="314C9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0605"/>
    <w:multiLevelType w:val="hybridMultilevel"/>
    <w:tmpl w:val="1E9E0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5E9"/>
    <w:multiLevelType w:val="hybridMultilevel"/>
    <w:tmpl w:val="5B8EB742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C9E05B7"/>
    <w:multiLevelType w:val="hybridMultilevel"/>
    <w:tmpl w:val="F9A85160"/>
    <w:lvl w:ilvl="0" w:tplc="0410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1D92142C"/>
    <w:multiLevelType w:val="hybridMultilevel"/>
    <w:tmpl w:val="547C94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C1880"/>
    <w:multiLevelType w:val="multilevel"/>
    <w:tmpl w:val="7256CD40"/>
    <w:lvl w:ilvl="0">
      <w:start w:val="1"/>
      <w:numFmt w:val="non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D247DBA"/>
    <w:multiLevelType w:val="hybridMultilevel"/>
    <w:tmpl w:val="5A2006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F81E58"/>
    <w:multiLevelType w:val="hybridMultilevel"/>
    <w:tmpl w:val="B4B28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F10E8"/>
    <w:multiLevelType w:val="hybridMultilevel"/>
    <w:tmpl w:val="227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809A7"/>
    <w:multiLevelType w:val="hybridMultilevel"/>
    <w:tmpl w:val="055CF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E0D7C"/>
    <w:multiLevelType w:val="hybridMultilevel"/>
    <w:tmpl w:val="A5703B76"/>
    <w:lvl w:ilvl="0" w:tplc="EECC9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671D2"/>
    <w:multiLevelType w:val="hybridMultilevel"/>
    <w:tmpl w:val="C3A08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0407"/>
    <w:multiLevelType w:val="hybridMultilevel"/>
    <w:tmpl w:val="549C6C54"/>
    <w:lvl w:ilvl="0" w:tplc="04100017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9" w15:restartNumberingAfterBreak="0">
    <w:nsid w:val="549A5056"/>
    <w:multiLevelType w:val="multilevel"/>
    <w:tmpl w:val="34B46C0A"/>
    <w:styleLink w:val="StrutturaTitoli"/>
    <w:lvl w:ilvl="0">
      <w:start w:val="1"/>
      <w:numFmt w:val="decimal"/>
      <w:pStyle w:val="Titolo1"/>
      <w:suff w:val="space"/>
      <w:lvlText w:val="CAPITOLO %1 - "/>
      <w:lvlJc w:val="left"/>
      <w:pPr>
        <w:ind w:left="1985" w:hanging="1985"/>
      </w:pPr>
      <w:rPr>
        <w:rFonts w:ascii="Frutiger LT 45 Light" w:hAnsi="Frutiger LT 45 Light" w:hint="default"/>
        <w:b/>
        <w:i w:val="0"/>
        <w:sz w:val="32"/>
      </w:rPr>
    </w:lvl>
    <w:lvl w:ilvl="1">
      <w:start w:val="1"/>
      <w:numFmt w:val="decimal"/>
      <w:pStyle w:val="Titolo2"/>
      <w:suff w:val="space"/>
      <w:lvlText w:val="%1.%2 -"/>
      <w:lvlJc w:val="left"/>
      <w:pPr>
        <w:ind w:left="1134" w:hanging="1134"/>
      </w:pPr>
      <w:rPr>
        <w:rFonts w:ascii="Frutiger LT 45 Light" w:hAnsi="Frutiger LT 45 Light" w:hint="default"/>
      </w:rPr>
    </w:lvl>
    <w:lvl w:ilvl="2">
      <w:start w:val="1"/>
      <w:numFmt w:val="decimal"/>
      <w:pStyle w:val="Titolo3"/>
      <w:suff w:val="space"/>
      <w:lvlText w:val="%1.%2.%3 - "/>
      <w:lvlJc w:val="left"/>
      <w:pPr>
        <w:ind w:left="1701" w:hanging="1701"/>
      </w:pPr>
      <w:rPr>
        <w:rFonts w:ascii="Frutiger LT 45 Light" w:hAnsi="Frutiger LT 45 Light" w:hint="default"/>
        <w:b/>
        <w:i/>
        <w:sz w:val="24"/>
      </w:rPr>
    </w:lvl>
    <w:lvl w:ilvl="3">
      <w:start w:val="1"/>
      <w:numFmt w:val="decimal"/>
      <w:pStyle w:val="Titolo4"/>
      <w:suff w:val="space"/>
      <w:lvlText w:val="%1.%2.%3.%4  - "/>
      <w:lvlJc w:val="left"/>
      <w:pPr>
        <w:ind w:left="1985" w:hanging="1985"/>
      </w:pPr>
      <w:rPr>
        <w:rFonts w:ascii="Frutiger LT 45 Light" w:hAnsi="Frutiger LT 45 Light" w:hint="default"/>
        <w:b/>
        <w:i/>
        <w:sz w:val="24"/>
      </w:rPr>
    </w:lvl>
    <w:lvl w:ilvl="4">
      <w:start w:val="1"/>
      <w:numFmt w:val="decimal"/>
      <w:pStyle w:val="Titolo5"/>
      <w:suff w:val="space"/>
      <w:lvlText w:val="%1.%2.%3.%4.%5 - "/>
      <w:lvlJc w:val="left"/>
      <w:pPr>
        <w:ind w:left="0" w:firstLine="0"/>
      </w:pPr>
      <w:rPr>
        <w:rFonts w:ascii="Frutiger LT 45 Light" w:hAnsi="Frutiger LT 45 Light" w:hint="default"/>
      </w:rPr>
    </w:lvl>
    <w:lvl w:ilvl="5">
      <w:start w:val="1"/>
      <w:numFmt w:val="decimal"/>
      <w:pStyle w:val="Titolo6"/>
      <w:suff w:val="space"/>
      <w:lvlText w:val="%1.%2.%3.%4.%5.%6 - "/>
      <w:lvlJc w:val="left"/>
      <w:pPr>
        <w:ind w:left="0" w:firstLine="0"/>
      </w:pPr>
      <w:rPr>
        <w:rFonts w:ascii="Frutiger LT 45 Light" w:hAnsi="Frutiger LT 45 Light" w:hint="default"/>
      </w:rPr>
    </w:lvl>
    <w:lvl w:ilvl="6">
      <w:start w:val="1"/>
      <w:numFmt w:val="decimal"/>
      <w:pStyle w:val="Titolo7"/>
      <w:suff w:val="space"/>
      <w:lvlText w:val="%1.%2.%3.%4.%5.%6.%7 - "/>
      <w:lvlJc w:val="left"/>
      <w:pPr>
        <w:ind w:left="0" w:firstLine="0"/>
      </w:pPr>
      <w:rPr>
        <w:rFonts w:ascii="Frutiger LT 45 Light" w:hAnsi="Frutiger LT 45 Light" w:hint="default"/>
      </w:rPr>
    </w:lvl>
    <w:lvl w:ilvl="7">
      <w:start w:val="1"/>
      <w:numFmt w:val="decimal"/>
      <w:pStyle w:val="Titolo8"/>
      <w:suff w:val="space"/>
      <w:lvlText w:val="%1.%2.%3.%4.%5.%6.%7.%8 - "/>
      <w:lvlJc w:val="left"/>
      <w:pPr>
        <w:ind w:left="0" w:firstLine="0"/>
      </w:pPr>
      <w:rPr>
        <w:rFonts w:ascii="Frutiger LT 45 Light" w:hAnsi="Frutiger LT 45 Light" w:hint="default"/>
      </w:rPr>
    </w:lvl>
    <w:lvl w:ilvl="8">
      <w:start w:val="1"/>
      <w:numFmt w:val="decimal"/>
      <w:pStyle w:val="Titolo9"/>
      <w:suff w:val="space"/>
      <w:lvlText w:val="%1.%2.%3.%4.%5.%6.%7.%8.%9 - "/>
      <w:lvlJc w:val="left"/>
      <w:pPr>
        <w:ind w:left="0" w:firstLine="0"/>
      </w:pPr>
      <w:rPr>
        <w:rFonts w:ascii="Frutiger LT 45 Light" w:hAnsi="Frutiger LT 45 Light" w:hint="default"/>
      </w:rPr>
    </w:lvl>
  </w:abstractNum>
  <w:abstractNum w:abstractNumId="20" w15:restartNumberingAfterBreak="0">
    <w:nsid w:val="54DF3D4A"/>
    <w:multiLevelType w:val="singleLevel"/>
    <w:tmpl w:val="DD94047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9887646"/>
    <w:multiLevelType w:val="hybridMultilevel"/>
    <w:tmpl w:val="8070C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86134"/>
    <w:multiLevelType w:val="hybridMultilevel"/>
    <w:tmpl w:val="E9A01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210EA"/>
    <w:multiLevelType w:val="hybridMultilevel"/>
    <w:tmpl w:val="63D8BE26"/>
    <w:lvl w:ilvl="0" w:tplc="C8AADE8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93178"/>
    <w:multiLevelType w:val="hybridMultilevel"/>
    <w:tmpl w:val="1AC2F1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6D3AB1"/>
    <w:multiLevelType w:val="hybridMultilevel"/>
    <w:tmpl w:val="956CD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C34C6"/>
    <w:multiLevelType w:val="hybridMultilevel"/>
    <w:tmpl w:val="66125F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54ADEC">
      <w:numFmt w:val="bullet"/>
      <w:lvlText w:val="•"/>
      <w:lvlJc w:val="left"/>
      <w:pPr>
        <w:ind w:left="1425" w:hanging="705"/>
      </w:pPr>
      <w:rPr>
        <w:rFonts w:ascii="Trebuchet MS" w:eastAsia="Times New Roman" w:hAnsi="Trebuchet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9D4F2C"/>
    <w:multiLevelType w:val="hybridMultilevel"/>
    <w:tmpl w:val="48380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B1EEA"/>
    <w:multiLevelType w:val="hybridMultilevel"/>
    <w:tmpl w:val="5E822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69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387125">
    <w:abstractNumId w:val="24"/>
  </w:num>
  <w:num w:numId="3" w16cid:durableId="16018369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 w16cid:durableId="1370495164">
    <w:abstractNumId w:val="3"/>
  </w:num>
  <w:num w:numId="5" w16cid:durableId="1289437234">
    <w:abstractNumId w:val="23"/>
  </w:num>
  <w:num w:numId="6" w16cid:durableId="1792287473">
    <w:abstractNumId w:val="16"/>
  </w:num>
  <w:num w:numId="7" w16cid:durableId="1745835384">
    <w:abstractNumId w:val="26"/>
  </w:num>
  <w:num w:numId="8" w16cid:durableId="1553997497">
    <w:abstractNumId w:val="18"/>
  </w:num>
  <w:num w:numId="9" w16cid:durableId="1345278429">
    <w:abstractNumId w:val="19"/>
  </w:num>
  <w:num w:numId="10" w16cid:durableId="942226725">
    <w:abstractNumId w:val="15"/>
  </w:num>
  <w:num w:numId="11" w16cid:durableId="1126124363">
    <w:abstractNumId w:val="27"/>
  </w:num>
  <w:num w:numId="12" w16cid:durableId="528614675">
    <w:abstractNumId w:val="28"/>
  </w:num>
  <w:num w:numId="13" w16cid:durableId="1064838431">
    <w:abstractNumId w:val="22"/>
  </w:num>
  <w:num w:numId="14" w16cid:durableId="956178084">
    <w:abstractNumId w:val="13"/>
  </w:num>
  <w:num w:numId="15" w16cid:durableId="1572500187">
    <w:abstractNumId w:val="4"/>
  </w:num>
  <w:num w:numId="16" w16cid:durableId="1677223978">
    <w:abstractNumId w:val="10"/>
  </w:num>
  <w:num w:numId="17" w16cid:durableId="826703426">
    <w:abstractNumId w:val="2"/>
  </w:num>
  <w:num w:numId="18" w16cid:durableId="449008131">
    <w:abstractNumId w:val="20"/>
  </w:num>
  <w:num w:numId="19" w16cid:durableId="1343553659">
    <w:abstractNumId w:val="1"/>
  </w:num>
  <w:num w:numId="20" w16cid:durableId="19597952">
    <w:abstractNumId w:val="17"/>
  </w:num>
  <w:num w:numId="21" w16cid:durableId="342517043">
    <w:abstractNumId w:val="7"/>
  </w:num>
  <w:num w:numId="22" w16cid:durableId="977881556">
    <w:abstractNumId w:val="12"/>
  </w:num>
  <w:num w:numId="23" w16cid:durableId="1269898045">
    <w:abstractNumId w:val="5"/>
  </w:num>
  <w:num w:numId="24" w16cid:durableId="418454824">
    <w:abstractNumId w:val="5"/>
  </w:num>
  <w:num w:numId="25" w16cid:durableId="970016151">
    <w:abstractNumId w:val="25"/>
  </w:num>
  <w:num w:numId="26" w16cid:durableId="175657646">
    <w:abstractNumId w:val="14"/>
  </w:num>
  <w:num w:numId="27" w16cid:durableId="174464762">
    <w:abstractNumId w:val="6"/>
  </w:num>
  <w:num w:numId="28" w16cid:durableId="358942266">
    <w:abstractNumId w:val="9"/>
  </w:num>
  <w:num w:numId="29" w16cid:durableId="2013337303">
    <w:abstractNumId w:val="21"/>
  </w:num>
  <w:num w:numId="30" w16cid:durableId="771359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87"/>
    <w:rsid w:val="0000283F"/>
    <w:rsid w:val="0000606B"/>
    <w:rsid w:val="00007B24"/>
    <w:rsid w:val="00007BE6"/>
    <w:rsid w:val="00015ACE"/>
    <w:rsid w:val="000176A5"/>
    <w:rsid w:val="000216F2"/>
    <w:rsid w:val="00024D04"/>
    <w:rsid w:val="00026CAB"/>
    <w:rsid w:val="000325CC"/>
    <w:rsid w:val="00032B87"/>
    <w:rsid w:val="000406C4"/>
    <w:rsid w:val="00040E65"/>
    <w:rsid w:val="000467C4"/>
    <w:rsid w:val="00051E43"/>
    <w:rsid w:val="00055697"/>
    <w:rsid w:val="00060FF5"/>
    <w:rsid w:val="000660E9"/>
    <w:rsid w:val="0007021F"/>
    <w:rsid w:val="00072079"/>
    <w:rsid w:val="00073CDA"/>
    <w:rsid w:val="000845AF"/>
    <w:rsid w:val="000872E2"/>
    <w:rsid w:val="000908FB"/>
    <w:rsid w:val="000A0E12"/>
    <w:rsid w:val="000A4F95"/>
    <w:rsid w:val="000A5727"/>
    <w:rsid w:val="000B7C39"/>
    <w:rsid w:val="000C033F"/>
    <w:rsid w:val="000C4024"/>
    <w:rsid w:val="000C42F6"/>
    <w:rsid w:val="000C751A"/>
    <w:rsid w:val="000D47E1"/>
    <w:rsid w:val="000D78AE"/>
    <w:rsid w:val="000E0BBD"/>
    <w:rsid w:val="000E6384"/>
    <w:rsid w:val="000E668F"/>
    <w:rsid w:val="000F0AC0"/>
    <w:rsid w:val="000F5774"/>
    <w:rsid w:val="000F6664"/>
    <w:rsid w:val="00100ABB"/>
    <w:rsid w:val="001043C9"/>
    <w:rsid w:val="00106494"/>
    <w:rsid w:val="00113553"/>
    <w:rsid w:val="00114944"/>
    <w:rsid w:val="00114AC3"/>
    <w:rsid w:val="001167CF"/>
    <w:rsid w:val="0012135B"/>
    <w:rsid w:val="00123424"/>
    <w:rsid w:val="001265D5"/>
    <w:rsid w:val="001271E1"/>
    <w:rsid w:val="00127DBA"/>
    <w:rsid w:val="00130A33"/>
    <w:rsid w:val="00131CEE"/>
    <w:rsid w:val="00132C36"/>
    <w:rsid w:val="00133083"/>
    <w:rsid w:val="00134766"/>
    <w:rsid w:val="00135466"/>
    <w:rsid w:val="0014169B"/>
    <w:rsid w:val="00147233"/>
    <w:rsid w:val="0015174C"/>
    <w:rsid w:val="00151BA1"/>
    <w:rsid w:val="00153C2C"/>
    <w:rsid w:val="00154394"/>
    <w:rsid w:val="001548A0"/>
    <w:rsid w:val="00157C9B"/>
    <w:rsid w:val="00164CB4"/>
    <w:rsid w:val="001669E1"/>
    <w:rsid w:val="001711EB"/>
    <w:rsid w:val="001760FD"/>
    <w:rsid w:val="00181750"/>
    <w:rsid w:val="00181A63"/>
    <w:rsid w:val="00190F7A"/>
    <w:rsid w:val="001A08E0"/>
    <w:rsid w:val="001A6874"/>
    <w:rsid w:val="001A6939"/>
    <w:rsid w:val="001A7961"/>
    <w:rsid w:val="001B0D3F"/>
    <w:rsid w:val="001B26F9"/>
    <w:rsid w:val="001B66C9"/>
    <w:rsid w:val="001C14F5"/>
    <w:rsid w:val="001C343F"/>
    <w:rsid w:val="001C6D8B"/>
    <w:rsid w:val="001E06B7"/>
    <w:rsid w:val="001E5180"/>
    <w:rsid w:val="001F01AC"/>
    <w:rsid w:val="001F0971"/>
    <w:rsid w:val="001F6378"/>
    <w:rsid w:val="00210EAD"/>
    <w:rsid w:val="00212FCF"/>
    <w:rsid w:val="0021394D"/>
    <w:rsid w:val="00214B6B"/>
    <w:rsid w:val="00216E03"/>
    <w:rsid w:val="00220273"/>
    <w:rsid w:val="002207A9"/>
    <w:rsid w:val="00220A02"/>
    <w:rsid w:val="00236452"/>
    <w:rsid w:val="00236E5D"/>
    <w:rsid w:val="00252555"/>
    <w:rsid w:val="002557A3"/>
    <w:rsid w:val="00256E49"/>
    <w:rsid w:val="00260A8F"/>
    <w:rsid w:val="00260CFB"/>
    <w:rsid w:val="00261616"/>
    <w:rsid w:val="00272D7B"/>
    <w:rsid w:val="00276CA3"/>
    <w:rsid w:val="00282392"/>
    <w:rsid w:val="00283B5E"/>
    <w:rsid w:val="0028442D"/>
    <w:rsid w:val="00286C78"/>
    <w:rsid w:val="00290D0F"/>
    <w:rsid w:val="00295D67"/>
    <w:rsid w:val="0029607F"/>
    <w:rsid w:val="00297502"/>
    <w:rsid w:val="002A1A4E"/>
    <w:rsid w:val="002A2156"/>
    <w:rsid w:val="002A31B2"/>
    <w:rsid w:val="002A4BAB"/>
    <w:rsid w:val="002B3157"/>
    <w:rsid w:val="002C05FB"/>
    <w:rsid w:val="002C2711"/>
    <w:rsid w:val="002C3E72"/>
    <w:rsid w:val="002C5CFB"/>
    <w:rsid w:val="002D1BE9"/>
    <w:rsid w:val="002D3D5B"/>
    <w:rsid w:val="002D3F05"/>
    <w:rsid w:val="002D47FF"/>
    <w:rsid w:val="002E209C"/>
    <w:rsid w:val="002E6DF7"/>
    <w:rsid w:val="002E714B"/>
    <w:rsid w:val="002F0691"/>
    <w:rsid w:val="002F31D6"/>
    <w:rsid w:val="002F67A7"/>
    <w:rsid w:val="00311D7F"/>
    <w:rsid w:val="00312F06"/>
    <w:rsid w:val="00315AF4"/>
    <w:rsid w:val="00316F86"/>
    <w:rsid w:val="00320669"/>
    <w:rsid w:val="00322C9D"/>
    <w:rsid w:val="0032422B"/>
    <w:rsid w:val="00324251"/>
    <w:rsid w:val="00325854"/>
    <w:rsid w:val="00326C48"/>
    <w:rsid w:val="003320F3"/>
    <w:rsid w:val="00332F26"/>
    <w:rsid w:val="003356CD"/>
    <w:rsid w:val="00335EF5"/>
    <w:rsid w:val="00337668"/>
    <w:rsid w:val="003379EA"/>
    <w:rsid w:val="00340F20"/>
    <w:rsid w:val="00341B8A"/>
    <w:rsid w:val="0034479A"/>
    <w:rsid w:val="00354919"/>
    <w:rsid w:val="003655BA"/>
    <w:rsid w:val="003743C2"/>
    <w:rsid w:val="00377943"/>
    <w:rsid w:val="00385424"/>
    <w:rsid w:val="00386C32"/>
    <w:rsid w:val="0039762F"/>
    <w:rsid w:val="003A27C0"/>
    <w:rsid w:val="003A366D"/>
    <w:rsid w:val="003A563C"/>
    <w:rsid w:val="003A69BA"/>
    <w:rsid w:val="003A7CA6"/>
    <w:rsid w:val="003B67EE"/>
    <w:rsid w:val="003B782F"/>
    <w:rsid w:val="003B7A86"/>
    <w:rsid w:val="003C2D0F"/>
    <w:rsid w:val="003C43BF"/>
    <w:rsid w:val="003D0743"/>
    <w:rsid w:val="003D0CBE"/>
    <w:rsid w:val="003D52A3"/>
    <w:rsid w:val="003E46DE"/>
    <w:rsid w:val="003E66BE"/>
    <w:rsid w:val="003E7975"/>
    <w:rsid w:val="003F4B46"/>
    <w:rsid w:val="004002A5"/>
    <w:rsid w:val="004003AC"/>
    <w:rsid w:val="00400B89"/>
    <w:rsid w:val="00401757"/>
    <w:rsid w:val="00402225"/>
    <w:rsid w:val="00402A31"/>
    <w:rsid w:val="00403C1D"/>
    <w:rsid w:val="00411626"/>
    <w:rsid w:val="00414B55"/>
    <w:rsid w:val="004151B8"/>
    <w:rsid w:val="00416A4B"/>
    <w:rsid w:val="00430256"/>
    <w:rsid w:val="00433B31"/>
    <w:rsid w:val="00437C27"/>
    <w:rsid w:val="0044277C"/>
    <w:rsid w:val="00444140"/>
    <w:rsid w:val="0044596B"/>
    <w:rsid w:val="00445A10"/>
    <w:rsid w:val="004518E7"/>
    <w:rsid w:val="00454014"/>
    <w:rsid w:val="00455937"/>
    <w:rsid w:val="00455E2D"/>
    <w:rsid w:val="00456233"/>
    <w:rsid w:val="004613EF"/>
    <w:rsid w:val="00465CFA"/>
    <w:rsid w:val="00466A14"/>
    <w:rsid w:val="00471067"/>
    <w:rsid w:val="00473141"/>
    <w:rsid w:val="0048270B"/>
    <w:rsid w:val="00482EDE"/>
    <w:rsid w:val="00486E40"/>
    <w:rsid w:val="0049006E"/>
    <w:rsid w:val="004924CC"/>
    <w:rsid w:val="00494678"/>
    <w:rsid w:val="00496283"/>
    <w:rsid w:val="0049768D"/>
    <w:rsid w:val="00497BEC"/>
    <w:rsid w:val="004B3375"/>
    <w:rsid w:val="004C1E34"/>
    <w:rsid w:val="004C5682"/>
    <w:rsid w:val="004C728B"/>
    <w:rsid w:val="004D20DE"/>
    <w:rsid w:val="004E681B"/>
    <w:rsid w:val="004E7BE0"/>
    <w:rsid w:val="004F527F"/>
    <w:rsid w:val="0050090A"/>
    <w:rsid w:val="00503E02"/>
    <w:rsid w:val="0051025B"/>
    <w:rsid w:val="00514AD2"/>
    <w:rsid w:val="0052250B"/>
    <w:rsid w:val="00522746"/>
    <w:rsid w:val="00523079"/>
    <w:rsid w:val="0052702D"/>
    <w:rsid w:val="0053115A"/>
    <w:rsid w:val="0053431C"/>
    <w:rsid w:val="00537564"/>
    <w:rsid w:val="00542FFA"/>
    <w:rsid w:val="00544C5E"/>
    <w:rsid w:val="00544E34"/>
    <w:rsid w:val="0054576F"/>
    <w:rsid w:val="0054715F"/>
    <w:rsid w:val="00547639"/>
    <w:rsid w:val="005538E2"/>
    <w:rsid w:val="005548ED"/>
    <w:rsid w:val="00555525"/>
    <w:rsid w:val="00561332"/>
    <w:rsid w:val="00563DBE"/>
    <w:rsid w:val="00565F6D"/>
    <w:rsid w:val="00572F37"/>
    <w:rsid w:val="0057651F"/>
    <w:rsid w:val="00582AC5"/>
    <w:rsid w:val="00586828"/>
    <w:rsid w:val="0058720C"/>
    <w:rsid w:val="00593A96"/>
    <w:rsid w:val="0059548A"/>
    <w:rsid w:val="00596763"/>
    <w:rsid w:val="005B29D5"/>
    <w:rsid w:val="005B2EF4"/>
    <w:rsid w:val="005B7BBA"/>
    <w:rsid w:val="005C3DB0"/>
    <w:rsid w:val="005C589E"/>
    <w:rsid w:val="005D34FF"/>
    <w:rsid w:val="005D5B6E"/>
    <w:rsid w:val="005E52DC"/>
    <w:rsid w:val="005E6431"/>
    <w:rsid w:val="005F2058"/>
    <w:rsid w:val="006002B1"/>
    <w:rsid w:val="00606242"/>
    <w:rsid w:val="00610E86"/>
    <w:rsid w:val="00612866"/>
    <w:rsid w:val="00621734"/>
    <w:rsid w:val="00621E76"/>
    <w:rsid w:val="00625677"/>
    <w:rsid w:val="006343E4"/>
    <w:rsid w:val="0063596C"/>
    <w:rsid w:val="00643736"/>
    <w:rsid w:val="00643F0E"/>
    <w:rsid w:val="00647827"/>
    <w:rsid w:val="00650605"/>
    <w:rsid w:val="00660C72"/>
    <w:rsid w:val="00662309"/>
    <w:rsid w:val="006627D9"/>
    <w:rsid w:val="00665D7F"/>
    <w:rsid w:val="00667FA1"/>
    <w:rsid w:val="0067428D"/>
    <w:rsid w:val="00675CDE"/>
    <w:rsid w:val="00675D81"/>
    <w:rsid w:val="006815AE"/>
    <w:rsid w:val="00683F69"/>
    <w:rsid w:val="00686D08"/>
    <w:rsid w:val="00687E60"/>
    <w:rsid w:val="00695450"/>
    <w:rsid w:val="006A06F9"/>
    <w:rsid w:val="006A2FC9"/>
    <w:rsid w:val="006B1FC9"/>
    <w:rsid w:val="006B5D53"/>
    <w:rsid w:val="006C5573"/>
    <w:rsid w:val="006C6132"/>
    <w:rsid w:val="006D3722"/>
    <w:rsid w:val="006D5843"/>
    <w:rsid w:val="006E43EF"/>
    <w:rsid w:val="006E6052"/>
    <w:rsid w:val="006E6A30"/>
    <w:rsid w:val="006F465A"/>
    <w:rsid w:val="006F60DE"/>
    <w:rsid w:val="007118C0"/>
    <w:rsid w:val="00713310"/>
    <w:rsid w:val="00714001"/>
    <w:rsid w:val="007151E1"/>
    <w:rsid w:val="00723A8D"/>
    <w:rsid w:val="00724966"/>
    <w:rsid w:val="007263E2"/>
    <w:rsid w:val="00741DB5"/>
    <w:rsid w:val="007420E8"/>
    <w:rsid w:val="0074661A"/>
    <w:rsid w:val="00747BF1"/>
    <w:rsid w:val="00747CC5"/>
    <w:rsid w:val="007618CA"/>
    <w:rsid w:val="00770A51"/>
    <w:rsid w:val="00770FA1"/>
    <w:rsid w:val="007710AD"/>
    <w:rsid w:val="007716D2"/>
    <w:rsid w:val="00772EDE"/>
    <w:rsid w:val="00782A87"/>
    <w:rsid w:val="007913FE"/>
    <w:rsid w:val="00794794"/>
    <w:rsid w:val="007A1795"/>
    <w:rsid w:val="007B4879"/>
    <w:rsid w:val="007B6F0F"/>
    <w:rsid w:val="007C02C6"/>
    <w:rsid w:val="007C0826"/>
    <w:rsid w:val="007C5667"/>
    <w:rsid w:val="007D11A7"/>
    <w:rsid w:val="007D1B27"/>
    <w:rsid w:val="007D3D4B"/>
    <w:rsid w:val="007D6602"/>
    <w:rsid w:val="007D6B3D"/>
    <w:rsid w:val="007E1BE4"/>
    <w:rsid w:val="007E3F21"/>
    <w:rsid w:val="007F27BF"/>
    <w:rsid w:val="008047EB"/>
    <w:rsid w:val="00804997"/>
    <w:rsid w:val="008058A4"/>
    <w:rsid w:val="00806AFE"/>
    <w:rsid w:val="008160CA"/>
    <w:rsid w:val="00817128"/>
    <w:rsid w:val="00817205"/>
    <w:rsid w:val="00817C38"/>
    <w:rsid w:val="00825BDC"/>
    <w:rsid w:val="00832537"/>
    <w:rsid w:val="00834553"/>
    <w:rsid w:val="00836B96"/>
    <w:rsid w:val="00841ED3"/>
    <w:rsid w:val="008427E4"/>
    <w:rsid w:val="008442E7"/>
    <w:rsid w:val="00844433"/>
    <w:rsid w:val="008452D2"/>
    <w:rsid w:val="008454D1"/>
    <w:rsid w:val="008461C4"/>
    <w:rsid w:val="00865C83"/>
    <w:rsid w:val="00866140"/>
    <w:rsid w:val="008735BF"/>
    <w:rsid w:val="00874CA7"/>
    <w:rsid w:val="00875B0B"/>
    <w:rsid w:val="008945C0"/>
    <w:rsid w:val="008A13D1"/>
    <w:rsid w:val="008A242F"/>
    <w:rsid w:val="008A6405"/>
    <w:rsid w:val="008A667C"/>
    <w:rsid w:val="008B01A4"/>
    <w:rsid w:val="008B2C66"/>
    <w:rsid w:val="008C055E"/>
    <w:rsid w:val="008D36A2"/>
    <w:rsid w:val="008E4CBE"/>
    <w:rsid w:val="008E6183"/>
    <w:rsid w:val="008F04AE"/>
    <w:rsid w:val="008F631C"/>
    <w:rsid w:val="00902E88"/>
    <w:rsid w:val="00910314"/>
    <w:rsid w:val="00911BB1"/>
    <w:rsid w:val="00921AB0"/>
    <w:rsid w:val="009275D6"/>
    <w:rsid w:val="00930B0D"/>
    <w:rsid w:val="00930FE7"/>
    <w:rsid w:val="009326A5"/>
    <w:rsid w:val="0093487F"/>
    <w:rsid w:val="00940A26"/>
    <w:rsid w:val="009427E1"/>
    <w:rsid w:val="00944FB1"/>
    <w:rsid w:val="00951C23"/>
    <w:rsid w:val="0095215A"/>
    <w:rsid w:val="00970B88"/>
    <w:rsid w:val="009737E3"/>
    <w:rsid w:val="00974ED0"/>
    <w:rsid w:val="009750F3"/>
    <w:rsid w:val="00976CB2"/>
    <w:rsid w:val="00977546"/>
    <w:rsid w:val="00977F21"/>
    <w:rsid w:val="00983D67"/>
    <w:rsid w:val="00986084"/>
    <w:rsid w:val="00987CEF"/>
    <w:rsid w:val="009919B6"/>
    <w:rsid w:val="00992ECA"/>
    <w:rsid w:val="009968CB"/>
    <w:rsid w:val="009A507C"/>
    <w:rsid w:val="009B3D6D"/>
    <w:rsid w:val="009B541F"/>
    <w:rsid w:val="009B6B2E"/>
    <w:rsid w:val="009C6EB2"/>
    <w:rsid w:val="009D1ABC"/>
    <w:rsid w:val="009D2D93"/>
    <w:rsid w:val="009D4D26"/>
    <w:rsid w:val="009D66D1"/>
    <w:rsid w:val="009E4387"/>
    <w:rsid w:val="009F1B6B"/>
    <w:rsid w:val="00A0087F"/>
    <w:rsid w:val="00A10405"/>
    <w:rsid w:val="00A25D09"/>
    <w:rsid w:val="00A303FB"/>
    <w:rsid w:val="00A33B15"/>
    <w:rsid w:val="00A34203"/>
    <w:rsid w:val="00A36830"/>
    <w:rsid w:val="00A4794D"/>
    <w:rsid w:val="00A51AE7"/>
    <w:rsid w:val="00A52839"/>
    <w:rsid w:val="00A61710"/>
    <w:rsid w:val="00A63070"/>
    <w:rsid w:val="00A776A4"/>
    <w:rsid w:val="00A8119C"/>
    <w:rsid w:val="00A8494A"/>
    <w:rsid w:val="00A85482"/>
    <w:rsid w:val="00A868CA"/>
    <w:rsid w:val="00AA4655"/>
    <w:rsid w:val="00AA6BD1"/>
    <w:rsid w:val="00AB3E4B"/>
    <w:rsid w:val="00AC2FFB"/>
    <w:rsid w:val="00AC4FAE"/>
    <w:rsid w:val="00AD3CFB"/>
    <w:rsid w:val="00AE0373"/>
    <w:rsid w:val="00AE048E"/>
    <w:rsid w:val="00AE1A94"/>
    <w:rsid w:val="00AE2CF2"/>
    <w:rsid w:val="00AE5713"/>
    <w:rsid w:val="00AF3AC7"/>
    <w:rsid w:val="00AF4156"/>
    <w:rsid w:val="00B001D3"/>
    <w:rsid w:val="00B070FF"/>
    <w:rsid w:val="00B147E3"/>
    <w:rsid w:val="00B14873"/>
    <w:rsid w:val="00B242B8"/>
    <w:rsid w:val="00B2749E"/>
    <w:rsid w:val="00B32647"/>
    <w:rsid w:val="00B342DF"/>
    <w:rsid w:val="00B344E7"/>
    <w:rsid w:val="00B358D6"/>
    <w:rsid w:val="00B4534E"/>
    <w:rsid w:val="00B45409"/>
    <w:rsid w:val="00B501BE"/>
    <w:rsid w:val="00B5451F"/>
    <w:rsid w:val="00B56840"/>
    <w:rsid w:val="00B62D6B"/>
    <w:rsid w:val="00B64593"/>
    <w:rsid w:val="00B71B22"/>
    <w:rsid w:val="00B74E5A"/>
    <w:rsid w:val="00B8454D"/>
    <w:rsid w:val="00B866AF"/>
    <w:rsid w:val="00B905E6"/>
    <w:rsid w:val="00B91073"/>
    <w:rsid w:val="00B973C6"/>
    <w:rsid w:val="00BA1D22"/>
    <w:rsid w:val="00BC01B8"/>
    <w:rsid w:val="00BC2E2E"/>
    <w:rsid w:val="00BC502F"/>
    <w:rsid w:val="00BC6F5F"/>
    <w:rsid w:val="00BD3002"/>
    <w:rsid w:val="00BD50CE"/>
    <w:rsid w:val="00BE2B09"/>
    <w:rsid w:val="00BE3420"/>
    <w:rsid w:val="00BF61D9"/>
    <w:rsid w:val="00C01D36"/>
    <w:rsid w:val="00C03145"/>
    <w:rsid w:val="00C1112B"/>
    <w:rsid w:val="00C114F1"/>
    <w:rsid w:val="00C155E4"/>
    <w:rsid w:val="00C20D7A"/>
    <w:rsid w:val="00C23A0D"/>
    <w:rsid w:val="00C26628"/>
    <w:rsid w:val="00C3244D"/>
    <w:rsid w:val="00C32539"/>
    <w:rsid w:val="00C33BEF"/>
    <w:rsid w:val="00C34E38"/>
    <w:rsid w:val="00C37A04"/>
    <w:rsid w:val="00C41256"/>
    <w:rsid w:val="00C423C8"/>
    <w:rsid w:val="00C458DA"/>
    <w:rsid w:val="00C50803"/>
    <w:rsid w:val="00C512CA"/>
    <w:rsid w:val="00C525C9"/>
    <w:rsid w:val="00C53B2B"/>
    <w:rsid w:val="00C55D32"/>
    <w:rsid w:val="00C565AB"/>
    <w:rsid w:val="00C579C2"/>
    <w:rsid w:val="00C60CD6"/>
    <w:rsid w:val="00C621A1"/>
    <w:rsid w:val="00C64DA6"/>
    <w:rsid w:val="00C66F84"/>
    <w:rsid w:val="00C71E64"/>
    <w:rsid w:val="00C74D28"/>
    <w:rsid w:val="00C86AC1"/>
    <w:rsid w:val="00C92588"/>
    <w:rsid w:val="00C92955"/>
    <w:rsid w:val="00C9299C"/>
    <w:rsid w:val="00CA471E"/>
    <w:rsid w:val="00CB2C6E"/>
    <w:rsid w:val="00CB4B91"/>
    <w:rsid w:val="00CB77BF"/>
    <w:rsid w:val="00CC1D61"/>
    <w:rsid w:val="00CC62FB"/>
    <w:rsid w:val="00CD18E9"/>
    <w:rsid w:val="00CD3A72"/>
    <w:rsid w:val="00CD3DE3"/>
    <w:rsid w:val="00CF00AA"/>
    <w:rsid w:val="00CF106B"/>
    <w:rsid w:val="00D0019E"/>
    <w:rsid w:val="00D024C7"/>
    <w:rsid w:val="00D03C51"/>
    <w:rsid w:val="00D22F10"/>
    <w:rsid w:val="00D239C3"/>
    <w:rsid w:val="00D24A39"/>
    <w:rsid w:val="00D3023F"/>
    <w:rsid w:val="00D30287"/>
    <w:rsid w:val="00D35132"/>
    <w:rsid w:val="00D36393"/>
    <w:rsid w:val="00D51922"/>
    <w:rsid w:val="00D55605"/>
    <w:rsid w:val="00D56169"/>
    <w:rsid w:val="00D64CF4"/>
    <w:rsid w:val="00D65305"/>
    <w:rsid w:val="00D7138E"/>
    <w:rsid w:val="00D76D79"/>
    <w:rsid w:val="00D812E4"/>
    <w:rsid w:val="00D8205E"/>
    <w:rsid w:val="00D82973"/>
    <w:rsid w:val="00D85BA3"/>
    <w:rsid w:val="00D870CC"/>
    <w:rsid w:val="00D92E56"/>
    <w:rsid w:val="00D9463D"/>
    <w:rsid w:val="00DA14F1"/>
    <w:rsid w:val="00DA1544"/>
    <w:rsid w:val="00DA2500"/>
    <w:rsid w:val="00DA3E13"/>
    <w:rsid w:val="00DB244C"/>
    <w:rsid w:val="00DB5775"/>
    <w:rsid w:val="00DB606D"/>
    <w:rsid w:val="00DB647C"/>
    <w:rsid w:val="00DB675E"/>
    <w:rsid w:val="00DC056D"/>
    <w:rsid w:val="00DC1153"/>
    <w:rsid w:val="00DC32AD"/>
    <w:rsid w:val="00DC5DEC"/>
    <w:rsid w:val="00DD173C"/>
    <w:rsid w:val="00DD4D60"/>
    <w:rsid w:val="00DE192C"/>
    <w:rsid w:val="00DF0E1A"/>
    <w:rsid w:val="00DF5F12"/>
    <w:rsid w:val="00E02A4F"/>
    <w:rsid w:val="00E047A9"/>
    <w:rsid w:val="00E12BAA"/>
    <w:rsid w:val="00E1703C"/>
    <w:rsid w:val="00E2283A"/>
    <w:rsid w:val="00E2698B"/>
    <w:rsid w:val="00E314C7"/>
    <w:rsid w:val="00E31D20"/>
    <w:rsid w:val="00E33995"/>
    <w:rsid w:val="00E37D59"/>
    <w:rsid w:val="00E41B84"/>
    <w:rsid w:val="00E46230"/>
    <w:rsid w:val="00E50664"/>
    <w:rsid w:val="00E515D3"/>
    <w:rsid w:val="00E53726"/>
    <w:rsid w:val="00E57235"/>
    <w:rsid w:val="00E60C29"/>
    <w:rsid w:val="00E651BA"/>
    <w:rsid w:val="00E71B37"/>
    <w:rsid w:val="00E727F1"/>
    <w:rsid w:val="00E72D3D"/>
    <w:rsid w:val="00E72EF7"/>
    <w:rsid w:val="00E81B03"/>
    <w:rsid w:val="00E82403"/>
    <w:rsid w:val="00E85506"/>
    <w:rsid w:val="00E90907"/>
    <w:rsid w:val="00E913E3"/>
    <w:rsid w:val="00E93926"/>
    <w:rsid w:val="00E94848"/>
    <w:rsid w:val="00EA1544"/>
    <w:rsid w:val="00EA3C62"/>
    <w:rsid w:val="00EA48C9"/>
    <w:rsid w:val="00EA5CB6"/>
    <w:rsid w:val="00EA6369"/>
    <w:rsid w:val="00EA6561"/>
    <w:rsid w:val="00EA6EF3"/>
    <w:rsid w:val="00EA72DC"/>
    <w:rsid w:val="00EA73A7"/>
    <w:rsid w:val="00EB39E7"/>
    <w:rsid w:val="00EB4901"/>
    <w:rsid w:val="00ED095C"/>
    <w:rsid w:val="00ED42CF"/>
    <w:rsid w:val="00ED5BDE"/>
    <w:rsid w:val="00ED69C6"/>
    <w:rsid w:val="00EE6D9E"/>
    <w:rsid w:val="00EF2696"/>
    <w:rsid w:val="00EF77C9"/>
    <w:rsid w:val="00F006EE"/>
    <w:rsid w:val="00F04716"/>
    <w:rsid w:val="00F05536"/>
    <w:rsid w:val="00F06111"/>
    <w:rsid w:val="00F0772A"/>
    <w:rsid w:val="00F11BB1"/>
    <w:rsid w:val="00F12C4B"/>
    <w:rsid w:val="00F148C5"/>
    <w:rsid w:val="00F2316B"/>
    <w:rsid w:val="00F27F58"/>
    <w:rsid w:val="00F3553D"/>
    <w:rsid w:val="00F36446"/>
    <w:rsid w:val="00F470D4"/>
    <w:rsid w:val="00F479DF"/>
    <w:rsid w:val="00F5213A"/>
    <w:rsid w:val="00F54165"/>
    <w:rsid w:val="00F55EF7"/>
    <w:rsid w:val="00F65810"/>
    <w:rsid w:val="00F801DF"/>
    <w:rsid w:val="00F85AB6"/>
    <w:rsid w:val="00F86C23"/>
    <w:rsid w:val="00F91CB9"/>
    <w:rsid w:val="00F92EBC"/>
    <w:rsid w:val="00F937B5"/>
    <w:rsid w:val="00F96742"/>
    <w:rsid w:val="00FA199F"/>
    <w:rsid w:val="00FA3085"/>
    <w:rsid w:val="00FA4D99"/>
    <w:rsid w:val="00FA677C"/>
    <w:rsid w:val="00FA7932"/>
    <w:rsid w:val="00FA7FD3"/>
    <w:rsid w:val="00FB202D"/>
    <w:rsid w:val="00FB22DF"/>
    <w:rsid w:val="00FB64BD"/>
    <w:rsid w:val="00FB6F01"/>
    <w:rsid w:val="00FC042D"/>
    <w:rsid w:val="00FC1FC7"/>
    <w:rsid w:val="00FC2F3F"/>
    <w:rsid w:val="00FC43D3"/>
    <w:rsid w:val="00FC45F7"/>
    <w:rsid w:val="00FC612C"/>
    <w:rsid w:val="00FC6B48"/>
    <w:rsid w:val="00FD74F2"/>
    <w:rsid w:val="00FE76AF"/>
    <w:rsid w:val="00FF035D"/>
    <w:rsid w:val="00FF125E"/>
    <w:rsid w:val="00FF1A60"/>
    <w:rsid w:val="00FF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8779"/>
  <w15:docId w15:val="{A9A57ACE-3C47-44DD-B774-2AC86D43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06E"/>
    <w:pPr>
      <w:spacing w:after="120" w:line="240" w:lineRule="auto"/>
      <w:ind w:firstLine="567"/>
      <w:jc w:val="both"/>
    </w:pPr>
    <w:rPr>
      <w:rFonts w:ascii="Frutiger LT 45 Light" w:eastAsia="Times New Roman" w:hAnsi="Frutiger LT 45 Light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B64BD"/>
    <w:pPr>
      <w:keepNext/>
      <w:pageBreakBefore/>
      <w:numPr>
        <w:numId w:val="9"/>
      </w:numPr>
      <w:shd w:val="clear" w:color="auto" w:fill="457FAF"/>
      <w:tabs>
        <w:tab w:val="left" w:pos="851"/>
      </w:tabs>
      <w:spacing w:before="860" w:after="860"/>
      <w:outlineLvl w:val="0"/>
    </w:pPr>
    <w:rPr>
      <w:rFonts w:cs="Arial"/>
      <w:b/>
      <w:bCs/>
      <w:color w:val="FFFFFF"/>
      <w:sz w:val="32"/>
      <w:szCs w:val="28"/>
      <w:lang w:eastAsia="en-US"/>
    </w:rPr>
  </w:style>
  <w:style w:type="paragraph" w:styleId="Titolo2">
    <w:name w:val="heading 2"/>
    <w:basedOn w:val="Titolo1"/>
    <w:next w:val="Normale"/>
    <w:link w:val="Titolo2Carattere"/>
    <w:qFormat/>
    <w:rsid w:val="00FB64BD"/>
    <w:pPr>
      <w:pageBreakBefore w:val="0"/>
      <w:numPr>
        <w:ilvl w:val="1"/>
      </w:numPr>
      <w:pBdr>
        <w:bottom w:val="single" w:sz="4" w:space="1" w:color="C0C0C0"/>
      </w:pBdr>
      <w:shd w:val="clear" w:color="auto" w:fill="auto"/>
      <w:tabs>
        <w:tab w:val="clear" w:pos="851"/>
      </w:tabs>
      <w:spacing w:before="360" w:after="360"/>
      <w:outlineLvl w:val="1"/>
    </w:pPr>
    <w:rPr>
      <w:bCs w:val="0"/>
      <w:i/>
      <w:iCs/>
      <w:color w:val="000000"/>
      <w:sz w:val="28"/>
      <w:szCs w:val="22"/>
    </w:rPr>
  </w:style>
  <w:style w:type="paragraph" w:styleId="Titolo3">
    <w:name w:val="heading 3"/>
    <w:basedOn w:val="Titolo2"/>
    <w:next w:val="Normale"/>
    <w:link w:val="Titolo3Carattere"/>
    <w:qFormat/>
    <w:rsid w:val="00FB64BD"/>
    <w:pPr>
      <w:numPr>
        <w:ilvl w:val="2"/>
      </w:numPr>
      <w:pBdr>
        <w:bottom w:val="none" w:sz="0" w:space="0" w:color="auto"/>
      </w:pBdr>
      <w:spacing w:before="240" w:after="240"/>
      <w:outlineLvl w:val="2"/>
    </w:pPr>
    <w:rPr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FB64BD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240"/>
      <w:ind w:right="1026"/>
      <w:textAlignment w:val="baseline"/>
      <w:outlineLvl w:val="3"/>
    </w:pPr>
    <w:rPr>
      <w:b/>
      <w:iCs/>
    </w:rPr>
  </w:style>
  <w:style w:type="paragraph" w:styleId="Titolo5">
    <w:name w:val="heading 5"/>
    <w:basedOn w:val="Normale"/>
    <w:next w:val="Normale"/>
    <w:link w:val="Titolo5Carattere"/>
    <w:qFormat/>
    <w:rsid w:val="00FB64BD"/>
    <w:pPr>
      <w:keepNext/>
      <w:numPr>
        <w:ilvl w:val="4"/>
        <w:numId w:val="9"/>
      </w:numPr>
      <w:spacing w:before="240" w:after="240"/>
      <w:outlineLvl w:val="4"/>
    </w:pPr>
    <w:rPr>
      <w:b/>
      <w:i/>
    </w:rPr>
  </w:style>
  <w:style w:type="paragraph" w:styleId="Titolo6">
    <w:name w:val="heading 6"/>
    <w:basedOn w:val="Normale"/>
    <w:next w:val="Normale"/>
    <w:link w:val="Titolo6Carattere"/>
    <w:qFormat/>
    <w:rsid w:val="00FB64BD"/>
    <w:pPr>
      <w:keepNext/>
      <w:numPr>
        <w:ilvl w:val="5"/>
        <w:numId w:val="9"/>
      </w:numPr>
      <w:tabs>
        <w:tab w:val="left" w:pos="180"/>
      </w:tabs>
      <w:spacing w:before="240" w:after="240"/>
      <w:outlineLvl w:val="5"/>
    </w:pPr>
    <w:rPr>
      <w:b/>
      <w:i/>
      <w:i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B64BD"/>
    <w:pPr>
      <w:numPr>
        <w:ilvl w:val="6"/>
        <w:numId w:val="9"/>
      </w:numPr>
      <w:spacing w:before="240" w:after="60"/>
      <w:outlineLvl w:val="6"/>
    </w:pPr>
    <w:rPr>
      <w:rFonts w:ascii="Calibri" w:hAnsi="Calibri"/>
      <w:i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B64B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B64BD"/>
    <w:pPr>
      <w:numPr>
        <w:ilvl w:val="8"/>
        <w:numId w:val="9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64BD"/>
    <w:rPr>
      <w:rFonts w:ascii="Frutiger LT 45 Light" w:eastAsia="Times New Roman" w:hAnsi="Frutiger LT 45 Light" w:cs="Arial"/>
      <w:b/>
      <w:bCs/>
      <w:color w:val="FFFFFF"/>
      <w:sz w:val="32"/>
      <w:szCs w:val="28"/>
      <w:shd w:val="clear" w:color="auto" w:fill="457FAF"/>
    </w:rPr>
  </w:style>
  <w:style w:type="character" w:customStyle="1" w:styleId="Titolo2Carattere">
    <w:name w:val="Titolo 2 Carattere"/>
    <w:basedOn w:val="Carpredefinitoparagrafo"/>
    <w:link w:val="Titolo2"/>
    <w:rsid w:val="00FB64BD"/>
    <w:rPr>
      <w:rFonts w:ascii="Frutiger LT 45 Light" w:eastAsia="Times New Roman" w:hAnsi="Frutiger LT 45 Light" w:cs="Arial"/>
      <w:b/>
      <w:i/>
      <w:iCs/>
      <w:color w:val="000000"/>
      <w:sz w:val="28"/>
    </w:rPr>
  </w:style>
  <w:style w:type="character" w:customStyle="1" w:styleId="Titolo3Carattere">
    <w:name w:val="Titolo 3 Carattere"/>
    <w:basedOn w:val="Carpredefinitoparagrafo"/>
    <w:link w:val="Titolo3"/>
    <w:rsid w:val="00FB64BD"/>
    <w:rPr>
      <w:rFonts w:ascii="Frutiger LT 45 Light" w:eastAsia="Times New Roman" w:hAnsi="Frutiger LT 45 Light" w:cs="Arial"/>
      <w:b/>
      <w:bCs/>
      <w:i/>
      <w:iCs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FB64BD"/>
    <w:rPr>
      <w:rFonts w:ascii="Frutiger LT 45 Light" w:eastAsia="Times New Roman" w:hAnsi="Frutiger LT 45 Light" w:cs="Times New Roman"/>
      <w:b/>
      <w:iCs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B64BD"/>
    <w:rPr>
      <w:rFonts w:ascii="Frutiger LT 45 Light" w:eastAsia="Times New Roman" w:hAnsi="Frutiger LT 45 Light" w:cs="Times New Roman"/>
      <w:b/>
      <w:i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B64BD"/>
    <w:rPr>
      <w:rFonts w:ascii="Frutiger LT 45 Light" w:eastAsia="Times New Roman" w:hAnsi="Frutiger LT 45 Light" w:cs="Times New Roman"/>
      <w:b/>
      <w:i/>
      <w:i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B64BD"/>
    <w:rPr>
      <w:rFonts w:ascii="Calibri" w:eastAsia="Times New Roman" w:hAnsi="Calibri" w:cs="Times New Roman"/>
      <w:i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B64BD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B64BD"/>
    <w:rPr>
      <w:rFonts w:ascii="Cambria" w:eastAsia="Times New Roman" w:hAnsi="Cambr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FB64BD"/>
    <w:pPr>
      <w:spacing w:after="0"/>
      <w:ind w:firstLine="0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64BD"/>
    <w:rPr>
      <w:rFonts w:ascii="Frutiger LT 45 Light" w:eastAsia="Times New Roman" w:hAnsi="Frutiger LT 45 Light" w:cs="Times New Roman"/>
      <w:sz w:val="16"/>
      <w:szCs w:val="20"/>
      <w:lang w:eastAsia="it-IT"/>
    </w:rPr>
  </w:style>
  <w:style w:type="character" w:styleId="Rimandonotaapidipagina">
    <w:name w:val="footnote reference"/>
    <w:rsid w:val="00FB64BD"/>
    <w:rPr>
      <w:rFonts w:ascii="Frutiger LT 45 Light" w:hAnsi="Frutiger LT 45 Light"/>
      <w:vertAlign w:val="superscript"/>
    </w:rPr>
  </w:style>
  <w:style w:type="numbering" w:customStyle="1" w:styleId="StrutturaTitoli">
    <w:name w:val="StrutturaTitoli"/>
    <w:uiPriority w:val="99"/>
    <w:rsid w:val="00FB64BD"/>
    <w:pPr>
      <w:numPr>
        <w:numId w:val="9"/>
      </w:numPr>
    </w:pPr>
  </w:style>
  <w:style w:type="paragraph" w:styleId="Paragrafoelenco">
    <w:name w:val="List Paragraph"/>
    <w:basedOn w:val="Normale"/>
    <w:uiPriority w:val="34"/>
    <w:qFormat/>
    <w:rsid w:val="00D0019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1394D"/>
    <w:pPr>
      <w:spacing w:before="100" w:beforeAutospacing="1" w:after="0"/>
      <w:ind w:firstLine="0"/>
    </w:pPr>
    <w:rPr>
      <w:rFonts w:ascii="Times New Roman" w:hAnsi="Times New Roman"/>
      <w:sz w:val="24"/>
    </w:rPr>
  </w:style>
  <w:style w:type="paragraph" w:customStyle="1" w:styleId="Standard">
    <w:name w:val="Standard"/>
    <w:rsid w:val="00214B6B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85BA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BA3"/>
    <w:rPr>
      <w:rFonts w:ascii="Frutiger LT 45 Light" w:eastAsia="Times New Roman" w:hAnsi="Frutiger LT 45 Light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85BA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BA3"/>
    <w:rPr>
      <w:rFonts w:ascii="Frutiger LT 45 Light" w:eastAsia="Times New Roman" w:hAnsi="Frutiger LT 45 Light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23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233"/>
    <w:rPr>
      <w:rFonts w:ascii="Tahoma" w:eastAsia="Times New Roman" w:hAnsi="Tahoma" w:cs="Tahoma"/>
      <w:sz w:val="16"/>
      <w:szCs w:val="16"/>
      <w:lang w:eastAsia="it-IT"/>
    </w:rPr>
  </w:style>
  <w:style w:type="numbering" w:customStyle="1" w:styleId="WWNum21">
    <w:name w:val="WWNum21"/>
    <w:basedOn w:val="Nessunelenco"/>
    <w:rsid w:val="003A366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2E16-BC99-4C03-A89B-5B9FD25E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 Solution</dc:creator>
  <cp:lastModifiedBy>DLS Solution</cp:lastModifiedBy>
  <cp:revision>207</cp:revision>
  <cp:lastPrinted>2022-04-19T08:59:00Z</cp:lastPrinted>
  <dcterms:created xsi:type="dcterms:W3CDTF">2022-04-21T17:54:00Z</dcterms:created>
  <dcterms:modified xsi:type="dcterms:W3CDTF">2022-04-26T11:07:00Z</dcterms:modified>
</cp:coreProperties>
</file>